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highlight w:val="none"/>
        </w:rPr>
      </w:pPr>
      <w:r>
        <w:rPr>
          <w:rFonts w:hint="eastAsia"/>
          <w:b/>
          <w:bCs/>
          <w:sz w:val="28"/>
          <w:szCs w:val="36"/>
          <w:highlight w:val="none"/>
        </w:rPr>
        <w:t>附件</w:t>
      </w:r>
    </w:p>
    <w:p>
      <w:pPr>
        <w:jc w:val="center"/>
        <w:rPr>
          <w:b/>
          <w:bCs/>
          <w:sz w:val="36"/>
          <w:szCs w:val="44"/>
          <w:highlight w:val="none"/>
        </w:rPr>
      </w:pPr>
      <w:r>
        <w:rPr>
          <w:rFonts w:hint="eastAsia"/>
          <w:b/>
          <w:bCs/>
          <w:sz w:val="36"/>
          <w:szCs w:val="44"/>
          <w:highlight w:val="none"/>
        </w:rPr>
        <w:t>采购需求</w:t>
      </w:r>
      <w:bookmarkStart w:id="8" w:name="_GoBack"/>
      <w:bookmarkEnd w:id="8"/>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项目背景</w:t>
      </w:r>
    </w:p>
    <w:p>
      <w:pPr>
        <w:spacing w:before="156" w:beforeLines="50" w:after="156" w:afterLines="50" w:line="360" w:lineRule="auto"/>
        <w:ind w:firstLine="420" w:firstLineChars="200"/>
        <w:rPr>
          <w:highlight w:val="none"/>
        </w:rPr>
      </w:pPr>
      <w:r>
        <w:rPr>
          <w:rFonts w:hint="eastAsia"/>
          <w:highlight w:val="none"/>
        </w:rPr>
        <w:t>本此改造机房位于民防大厦，为已建在用指挥通信机房（后简称“机房”），改造机房面积约为80平方米。拟根据该机房内部设备升级改造后设备安全、稳定运行需要，对该机房现有的供电电力配套设施进行配套改造。</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建设内容</w:t>
      </w:r>
    </w:p>
    <w:p>
      <w:pPr>
        <w:spacing w:before="156" w:beforeLines="50" w:after="156" w:afterLines="50" w:line="360" w:lineRule="auto"/>
        <w:ind w:firstLine="420" w:firstLineChars="200"/>
        <w:rPr>
          <w:highlight w:val="none"/>
        </w:rPr>
      </w:pPr>
      <w:r>
        <w:rPr>
          <w:rFonts w:hint="eastAsia"/>
          <w:highlight w:val="none"/>
        </w:rPr>
        <w:t>根据改造机房设备实际需求提供完整的机房电力配套设施改造方案，包括且不限于老旧UPS设备、供电线路、列头柜、开关保护器件、末端供电插座等拆除、更换，新增供配电箱柜、开关器件、UPS设备、末端回路的设计安装、运行调试。</w:t>
      </w:r>
    </w:p>
    <w:p>
      <w:pPr>
        <w:spacing w:before="156" w:beforeLines="50" w:after="156" w:afterLines="50" w:line="360" w:lineRule="auto"/>
        <w:ind w:firstLine="420" w:firstLineChars="200"/>
        <w:rPr>
          <w:highlight w:val="none"/>
        </w:rPr>
      </w:pPr>
      <w:r>
        <w:rPr>
          <w:rFonts w:hint="eastAsia"/>
          <w:highlight w:val="none"/>
        </w:rPr>
        <w:t>主要包含以下建设内容：</w:t>
      </w:r>
    </w:p>
    <w:p>
      <w:pPr>
        <w:numPr>
          <w:ilvl w:val="0"/>
          <w:numId w:val="2"/>
        </w:numPr>
        <w:spacing w:before="156" w:beforeLines="50" w:after="156" w:afterLines="50" w:line="360" w:lineRule="auto"/>
        <w:rPr>
          <w:highlight w:val="none"/>
        </w:rPr>
      </w:pPr>
      <w:r>
        <w:rPr>
          <w:rFonts w:hint="eastAsia"/>
          <w:highlight w:val="none"/>
        </w:rPr>
        <w:t>更换2台UPS主机，原设备拆除，核对电池柜容量、电池检测、补装工作等。</w:t>
      </w:r>
    </w:p>
    <w:p>
      <w:pPr>
        <w:numPr>
          <w:ilvl w:val="0"/>
          <w:numId w:val="2"/>
        </w:numPr>
        <w:spacing w:before="156" w:beforeLines="50" w:after="156" w:afterLines="50" w:line="360" w:lineRule="auto"/>
        <w:rPr>
          <w:highlight w:val="none"/>
        </w:rPr>
      </w:pPr>
      <w:r>
        <w:rPr>
          <w:rFonts w:hint="eastAsia"/>
          <w:highlight w:val="none"/>
        </w:rPr>
        <w:t>架空地坪内老旧线路以及既有线槽的排摸、拆除、保护工作等。</w:t>
      </w:r>
    </w:p>
    <w:p>
      <w:pPr>
        <w:numPr>
          <w:ilvl w:val="0"/>
          <w:numId w:val="2"/>
        </w:numPr>
        <w:spacing w:before="156" w:beforeLines="50" w:after="156" w:afterLines="50" w:line="360" w:lineRule="auto"/>
        <w:rPr>
          <w:highlight w:val="none"/>
        </w:rPr>
      </w:pPr>
      <w:r>
        <w:rPr>
          <w:rFonts w:hint="eastAsia"/>
          <w:highlight w:val="none"/>
        </w:rPr>
        <w:t>自1#、2#市电总配电柜起，网络机柜、服务器机柜供电支线整体改造、配电柜更新、PDU供电插座改造等。</w:t>
      </w:r>
    </w:p>
    <w:p>
      <w:pPr>
        <w:numPr>
          <w:ilvl w:val="0"/>
          <w:numId w:val="2"/>
        </w:numPr>
        <w:spacing w:before="156" w:beforeLines="50" w:after="156" w:afterLines="50" w:line="360" w:lineRule="auto"/>
        <w:rPr>
          <w:highlight w:val="none"/>
        </w:rPr>
      </w:pPr>
      <w:r>
        <w:rPr>
          <w:rFonts w:hint="eastAsia"/>
          <w:highlight w:val="none"/>
        </w:rPr>
        <w:t>强（弱）电线缆、桥架支架进行调整布设等。</w:t>
      </w:r>
    </w:p>
    <w:p>
      <w:pPr>
        <w:numPr>
          <w:ilvl w:val="0"/>
          <w:numId w:val="2"/>
        </w:numPr>
        <w:spacing w:before="156" w:beforeLines="50" w:after="156" w:afterLines="50" w:line="360" w:lineRule="auto"/>
        <w:rPr>
          <w:highlight w:val="none"/>
        </w:rPr>
      </w:pPr>
      <w:r>
        <w:rPr>
          <w:rFonts w:hint="eastAsia"/>
          <w:highlight w:val="none"/>
        </w:rPr>
        <w:t>设备及系统的迁移割接所需的临时线路的铺设、拆除等。</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技术规范</w:t>
      </w:r>
    </w:p>
    <w:p>
      <w:pPr>
        <w:pStyle w:val="3"/>
        <w:numPr>
          <w:ilvl w:val="1"/>
          <w:numId w:val="1"/>
        </w:numPr>
        <w:spacing w:before="156" w:beforeLines="50" w:after="156" w:afterLines="50" w:line="360" w:lineRule="auto"/>
        <w:rPr>
          <w:szCs w:val="20"/>
          <w:highlight w:val="none"/>
        </w:rPr>
      </w:pPr>
      <w:r>
        <w:rPr>
          <w:rFonts w:hint="eastAsia"/>
          <w:szCs w:val="20"/>
          <w:highlight w:val="none"/>
        </w:rPr>
        <w:t>UPS主机1技术指标（设备甲供）</w:t>
      </w:r>
    </w:p>
    <w:p>
      <w:pPr>
        <w:numPr>
          <w:ilvl w:val="0"/>
          <w:numId w:val="3"/>
        </w:numPr>
        <w:spacing w:before="156" w:beforeLines="50" w:after="156" w:afterLines="50" w:line="360" w:lineRule="auto"/>
        <w:rPr>
          <w:highlight w:val="none"/>
        </w:rPr>
      </w:pPr>
      <w:r>
        <w:rPr>
          <w:rFonts w:hint="eastAsia"/>
          <w:highlight w:val="none"/>
        </w:rPr>
        <w:t>UPS为三进三出模块化UPS，模块化机柜满配容量不小于60kVA；单个功率模块容量不低于20kVA；本次UPS实际配置60kVA。（仅含甲供主机设备，不含电池柜改造等）</w:t>
      </w:r>
    </w:p>
    <w:p>
      <w:pPr>
        <w:pStyle w:val="3"/>
        <w:numPr>
          <w:ilvl w:val="1"/>
          <w:numId w:val="1"/>
        </w:numPr>
        <w:spacing w:before="156" w:beforeLines="50" w:after="156" w:afterLines="50" w:line="360" w:lineRule="auto"/>
        <w:rPr>
          <w:szCs w:val="20"/>
          <w:highlight w:val="none"/>
        </w:rPr>
      </w:pPr>
      <w:r>
        <w:rPr>
          <w:rFonts w:hint="eastAsia"/>
          <w:szCs w:val="20"/>
          <w:highlight w:val="none"/>
        </w:rPr>
        <w:t>UPS主机2技术指标（设备甲供）</w:t>
      </w:r>
    </w:p>
    <w:p>
      <w:pPr>
        <w:numPr>
          <w:ilvl w:val="0"/>
          <w:numId w:val="4"/>
        </w:numPr>
        <w:spacing w:before="156" w:beforeLines="50" w:after="156" w:afterLines="50" w:line="360" w:lineRule="auto"/>
        <w:rPr>
          <w:highlight w:val="none"/>
        </w:rPr>
      </w:pPr>
      <w:r>
        <w:rPr>
          <w:rFonts w:hint="eastAsia"/>
          <w:highlight w:val="none"/>
        </w:rPr>
        <w:t>UPS为三进三出模块化UPS，模块化机柜满配容量不小于150kVA；单个功率模块容量不低于30kVA；本次UPS实际配置</w:t>
      </w:r>
      <w:r>
        <w:rPr>
          <w:highlight w:val="none"/>
        </w:rPr>
        <w:t>150kVA</w:t>
      </w:r>
      <w:r>
        <w:rPr>
          <w:rFonts w:hint="eastAsia"/>
          <w:highlight w:val="none"/>
        </w:rPr>
        <w:t>。（仅含甲供主机设备，不含电池柜改造等）</w:t>
      </w:r>
    </w:p>
    <w:p>
      <w:pPr>
        <w:pStyle w:val="3"/>
        <w:numPr>
          <w:ilvl w:val="1"/>
          <w:numId w:val="1"/>
        </w:numPr>
        <w:spacing w:before="156" w:beforeLines="50" w:after="156" w:afterLines="50" w:line="360" w:lineRule="auto"/>
        <w:rPr>
          <w:szCs w:val="20"/>
          <w:highlight w:val="none"/>
        </w:rPr>
      </w:pPr>
      <w:r>
        <w:rPr>
          <w:rFonts w:hint="eastAsia"/>
          <w:szCs w:val="20"/>
          <w:highlight w:val="none"/>
        </w:rPr>
        <w:t>供电线路改造要求</w:t>
      </w:r>
    </w:p>
    <w:p>
      <w:pPr>
        <w:numPr>
          <w:ilvl w:val="0"/>
          <w:numId w:val="5"/>
        </w:numPr>
        <w:spacing w:before="156" w:beforeLines="50" w:after="156" w:afterLines="50" w:line="360" w:lineRule="auto"/>
        <w:rPr>
          <w:highlight w:val="none"/>
        </w:rPr>
      </w:pPr>
      <w:r>
        <w:rPr>
          <w:rFonts w:hint="eastAsia"/>
          <w:highlight w:val="none"/>
        </w:rPr>
        <w:t>网络机柜单柜供电能力不小于4*16A（AC220V）。</w:t>
      </w:r>
    </w:p>
    <w:p>
      <w:pPr>
        <w:numPr>
          <w:ilvl w:val="0"/>
          <w:numId w:val="5"/>
        </w:numPr>
        <w:spacing w:before="156" w:beforeLines="50" w:after="156" w:afterLines="50" w:line="360" w:lineRule="auto"/>
        <w:rPr>
          <w:highlight w:val="none"/>
        </w:rPr>
      </w:pPr>
      <w:r>
        <w:rPr>
          <w:rFonts w:hint="eastAsia"/>
          <w:highlight w:val="none"/>
        </w:rPr>
        <w:t>服务器机柜单柜供电能力不小于4*32A（AC220V）。</w:t>
      </w:r>
    </w:p>
    <w:p>
      <w:pPr>
        <w:numPr>
          <w:ilvl w:val="0"/>
          <w:numId w:val="5"/>
        </w:numPr>
        <w:spacing w:before="156" w:beforeLines="50" w:after="156" w:afterLines="50" w:line="360" w:lineRule="auto"/>
        <w:rPr>
          <w:highlight w:val="none"/>
        </w:rPr>
      </w:pPr>
      <w:r>
        <w:rPr>
          <w:rFonts w:hint="eastAsia"/>
          <w:highlight w:val="none"/>
        </w:rPr>
        <w:t>改造期间，供电柜断电时间不得超过2小时，最多不可超过2次。</w:t>
      </w:r>
    </w:p>
    <w:p>
      <w:pPr>
        <w:numPr>
          <w:ilvl w:val="0"/>
          <w:numId w:val="5"/>
        </w:numPr>
        <w:spacing w:before="156" w:beforeLines="50" w:after="156" w:afterLines="50" w:line="360" w:lineRule="auto"/>
        <w:rPr>
          <w:highlight w:val="none"/>
        </w:rPr>
      </w:pPr>
      <w:r>
        <w:rPr>
          <w:rFonts w:hint="eastAsia"/>
          <w:highlight w:val="none"/>
        </w:rPr>
        <w:t>网络机柜、服务器机柜供电支线的配电柜均须配备电量仪（具备计量实时用电量、累计用电量、波峰波谷用电量的功能）。</w:t>
      </w:r>
    </w:p>
    <w:p>
      <w:pPr>
        <w:numPr>
          <w:ilvl w:val="0"/>
          <w:numId w:val="5"/>
        </w:numPr>
        <w:spacing w:before="156" w:beforeLines="50" w:after="156" w:afterLines="50" w:line="360" w:lineRule="auto"/>
        <w:rPr>
          <w:highlight w:val="none"/>
        </w:rPr>
      </w:pPr>
      <w:r>
        <w:rPr>
          <w:rFonts w:hint="eastAsia"/>
          <w:highlight w:val="none"/>
        </w:rPr>
        <w:t>对每个市电进线配电柜额外配备一路不小于</w:t>
      </w:r>
      <w:r>
        <w:rPr>
          <w:highlight w:val="none"/>
        </w:rPr>
        <w:t>80A/3P</w:t>
      </w:r>
      <w:r>
        <w:rPr>
          <w:rFonts w:hint="eastAsia"/>
          <w:highlight w:val="none"/>
        </w:rPr>
        <w:t>闸刀。</w:t>
      </w:r>
    </w:p>
    <w:p>
      <w:pPr>
        <w:pStyle w:val="3"/>
        <w:numPr>
          <w:ilvl w:val="1"/>
          <w:numId w:val="1"/>
        </w:numPr>
        <w:spacing w:before="156" w:beforeLines="50" w:after="156" w:afterLines="50" w:line="360" w:lineRule="auto"/>
        <w:rPr>
          <w:szCs w:val="20"/>
          <w:highlight w:val="none"/>
        </w:rPr>
      </w:pPr>
      <w:r>
        <w:rPr>
          <w:rFonts w:hint="eastAsia"/>
          <w:szCs w:val="20"/>
          <w:highlight w:val="none"/>
        </w:rPr>
        <w:t>整体要求</w:t>
      </w:r>
    </w:p>
    <w:p>
      <w:pPr>
        <w:numPr>
          <w:ilvl w:val="0"/>
          <w:numId w:val="6"/>
        </w:numPr>
        <w:spacing w:before="156" w:beforeLines="50" w:after="156" w:afterLines="50" w:line="360" w:lineRule="auto"/>
        <w:rPr>
          <w:highlight w:val="none"/>
        </w:rPr>
      </w:pPr>
      <w:r>
        <w:rPr>
          <w:rFonts w:hint="eastAsia"/>
          <w:highlight w:val="none"/>
        </w:rPr>
        <w:t>根据甲方现场设计要求编制项目建设方案。</w:t>
      </w:r>
    </w:p>
    <w:p>
      <w:pPr>
        <w:numPr>
          <w:ilvl w:val="0"/>
          <w:numId w:val="6"/>
        </w:numPr>
        <w:spacing w:before="156" w:beforeLines="50" w:after="156" w:afterLines="50" w:line="360" w:lineRule="auto"/>
        <w:rPr>
          <w:highlight w:val="none"/>
        </w:rPr>
      </w:pPr>
      <w:r>
        <w:rPr>
          <w:rFonts w:hint="eastAsia"/>
          <w:highlight w:val="none"/>
        </w:rPr>
        <w:t>电力配套改造不得降低机房原有供电负荷等级及供电要求。</w:t>
      </w:r>
    </w:p>
    <w:p>
      <w:pPr>
        <w:numPr>
          <w:ilvl w:val="0"/>
          <w:numId w:val="6"/>
        </w:numPr>
        <w:spacing w:before="156" w:beforeLines="50" w:after="156" w:afterLines="50" w:line="360" w:lineRule="auto"/>
        <w:rPr>
          <w:highlight w:val="none"/>
        </w:rPr>
      </w:pPr>
      <w:r>
        <w:rPr>
          <w:rFonts w:hint="eastAsia"/>
          <w:highlight w:val="none"/>
        </w:rPr>
        <w:t>电力配套改造需符合现行防雷、强电、机电工程、建筑防火和消防安全等规范规定要求。</w:t>
      </w:r>
    </w:p>
    <w:p>
      <w:pPr>
        <w:numPr>
          <w:ilvl w:val="0"/>
          <w:numId w:val="6"/>
        </w:numPr>
        <w:spacing w:before="156" w:beforeLines="50" w:after="156" w:afterLines="50" w:line="360" w:lineRule="auto"/>
        <w:rPr>
          <w:highlight w:val="none"/>
        </w:rPr>
      </w:pPr>
      <w:r>
        <w:rPr>
          <w:rFonts w:hint="eastAsia"/>
          <w:highlight w:val="none"/>
        </w:rPr>
        <w:t>所提供产品、材料须符合国家法律法规及相关规定。</w:t>
      </w:r>
    </w:p>
    <w:p>
      <w:pPr>
        <w:numPr>
          <w:ilvl w:val="0"/>
          <w:numId w:val="6"/>
        </w:numPr>
        <w:spacing w:before="156" w:beforeLines="50" w:after="156" w:afterLines="50" w:line="360" w:lineRule="auto"/>
        <w:rPr>
          <w:highlight w:val="none"/>
        </w:rPr>
      </w:pPr>
      <w:r>
        <w:rPr>
          <w:rFonts w:hint="eastAsia"/>
          <w:highlight w:val="none"/>
        </w:rPr>
        <w:t>项目试运行前，提供改造后的供配电系统图、机房电力改造平面、工程施工说明等竣工图纸。</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进度要求</w:t>
      </w:r>
    </w:p>
    <w:p>
      <w:pPr>
        <w:pStyle w:val="3"/>
        <w:numPr>
          <w:ilvl w:val="1"/>
          <w:numId w:val="1"/>
        </w:numPr>
        <w:spacing w:before="156" w:beforeLines="50" w:after="156" w:afterLines="50" w:line="360" w:lineRule="auto"/>
        <w:rPr>
          <w:highlight w:val="none"/>
        </w:rPr>
      </w:pPr>
      <w:r>
        <w:rPr>
          <w:rFonts w:hint="eastAsia"/>
          <w:szCs w:val="20"/>
          <w:highlight w:val="none"/>
        </w:rPr>
        <w:t>进度计划编制</w:t>
      </w:r>
    </w:p>
    <w:p>
      <w:pPr>
        <w:spacing w:before="156" w:beforeLines="50" w:after="156" w:afterLines="50" w:line="360" w:lineRule="auto"/>
        <w:ind w:firstLine="420" w:firstLineChars="200"/>
        <w:rPr>
          <w:highlight w:val="none"/>
        </w:rPr>
      </w:pPr>
      <w:r>
        <w:rPr>
          <w:rFonts w:hint="eastAsia"/>
          <w:highlight w:val="none"/>
        </w:rPr>
        <w:t>本项目要求总工期为合同签订后</w:t>
      </w:r>
      <w:r>
        <w:rPr>
          <w:rFonts w:hint="eastAsia"/>
          <w:b/>
          <w:bCs/>
          <w:highlight w:val="none"/>
          <w:u w:val="single"/>
        </w:rPr>
        <w:t>2个月</w:t>
      </w:r>
      <w:r>
        <w:rPr>
          <w:rFonts w:hint="eastAsia"/>
          <w:highlight w:val="none"/>
        </w:rPr>
        <w:t>内，完成指挥通信机房改造建设。</w:t>
      </w:r>
    </w:p>
    <w:p>
      <w:pPr>
        <w:spacing w:before="156" w:beforeLines="50" w:after="156" w:afterLines="50" w:line="360" w:lineRule="auto"/>
        <w:ind w:firstLine="420" w:firstLineChars="200"/>
        <w:rPr>
          <w:highlight w:val="none"/>
        </w:rPr>
      </w:pPr>
      <w:r>
        <w:rPr>
          <w:rFonts w:hint="eastAsia"/>
          <w:highlight w:val="none"/>
        </w:rPr>
        <w:t>为了确保进度计划能如实贯彻执行，编制此进度计划时应遵循以下原则：</w:t>
      </w:r>
    </w:p>
    <w:p>
      <w:pPr>
        <w:spacing w:before="156" w:beforeLines="50" w:after="156" w:afterLines="50" w:line="360" w:lineRule="auto"/>
        <w:ind w:left="420" w:leftChars="200"/>
        <w:rPr>
          <w:highlight w:val="none"/>
        </w:rPr>
      </w:pPr>
      <w:r>
        <w:rPr>
          <w:rFonts w:hint="eastAsia"/>
          <w:highlight w:val="none"/>
        </w:rPr>
        <w:t>1.从实际出发、切实可行；</w:t>
      </w:r>
    </w:p>
    <w:p>
      <w:pPr>
        <w:spacing w:before="156" w:beforeLines="50" w:after="156" w:afterLines="50" w:line="360" w:lineRule="auto"/>
        <w:ind w:left="420" w:leftChars="200"/>
        <w:rPr>
          <w:highlight w:val="none"/>
        </w:rPr>
      </w:pPr>
      <w:r>
        <w:rPr>
          <w:rFonts w:hint="eastAsia"/>
          <w:highlight w:val="none"/>
        </w:rPr>
        <w:t>2.均衡、科学地制定计划。</w:t>
      </w:r>
    </w:p>
    <w:p>
      <w:pPr>
        <w:spacing w:before="156" w:beforeLines="50" w:after="156" w:afterLines="50" w:line="360" w:lineRule="auto"/>
        <w:ind w:left="420" w:leftChars="200"/>
        <w:rPr>
          <w:highlight w:val="none"/>
        </w:rPr>
      </w:pPr>
      <w:r>
        <w:rPr>
          <w:rFonts w:hint="eastAsia"/>
          <w:highlight w:val="none"/>
        </w:rPr>
        <w:t>3.进度计划要统筹兼顾全面考虑。</w:t>
      </w:r>
    </w:p>
    <w:p>
      <w:pPr>
        <w:spacing w:before="156" w:beforeLines="50" w:after="156" w:afterLines="50" w:line="360" w:lineRule="auto"/>
        <w:ind w:left="420" w:leftChars="200"/>
        <w:rPr>
          <w:highlight w:val="none"/>
        </w:rPr>
      </w:pPr>
      <w:r>
        <w:rPr>
          <w:rFonts w:hint="eastAsia"/>
          <w:highlight w:val="none"/>
        </w:rPr>
        <w:t>4.合理分解作业工序，合理安排各工序的时间计划和先后顺序及搭接、交叉或平行作业，以缩短项目总工期；</w:t>
      </w:r>
    </w:p>
    <w:p>
      <w:pPr>
        <w:spacing w:before="156" w:beforeLines="50" w:after="156" w:afterLines="50" w:line="360" w:lineRule="auto"/>
        <w:ind w:left="420" w:leftChars="200"/>
        <w:rPr>
          <w:highlight w:val="none"/>
        </w:rPr>
      </w:pPr>
      <w:r>
        <w:rPr>
          <w:rFonts w:hint="eastAsia"/>
          <w:highlight w:val="none"/>
        </w:rPr>
        <w:t>5.保证各工序的衔接及连续作业，避免作业现场出现停歇和窝工现象；</w:t>
      </w:r>
    </w:p>
    <w:p>
      <w:pPr>
        <w:spacing w:before="156" w:beforeLines="50" w:after="156" w:afterLines="50" w:line="360" w:lineRule="auto"/>
        <w:ind w:left="420" w:leftChars="200"/>
        <w:rPr>
          <w:highlight w:val="none"/>
        </w:rPr>
      </w:pPr>
      <w:r>
        <w:rPr>
          <w:rFonts w:hint="eastAsia"/>
          <w:highlight w:val="none"/>
        </w:rPr>
        <w:t>6.充分考虑供电柜断电时间及断电过程中核心业务设施的应急供电保障；</w:t>
      </w:r>
    </w:p>
    <w:p>
      <w:pPr>
        <w:spacing w:before="156" w:beforeLines="50" w:after="156" w:afterLines="50" w:line="360" w:lineRule="auto"/>
        <w:ind w:left="420" w:leftChars="200"/>
        <w:rPr>
          <w:highlight w:val="none"/>
        </w:rPr>
      </w:pPr>
      <w:r>
        <w:rPr>
          <w:rFonts w:hint="eastAsia"/>
          <w:highlight w:val="none"/>
        </w:rPr>
        <w:t>7.设置应急工期，确保项目总工期的落实。</w:t>
      </w:r>
    </w:p>
    <w:p>
      <w:pPr>
        <w:pStyle w:val="3"/>
        <w:numPr>
          <w:ilvl w:val="1"/>
          <w:numId w:val="1"/>
        </w:numPr>
        <w:spacing w:before="156" w:beforeLines="50" w:after="156" w:afterLines="50" w:line="360" w:lineRule="auto"/>
        <w:rPr>
          <w:szCs w:val="20"/>
          <w:highlight w:val="none"/>
        </w:rPr>
      </w:pPr>
      <w:bookmarkStart w:id="0" w:name="_Toc30147"/>
      <w:bookmarkStart w:id="1" w:name="_Toc395426850"/>
      <w:bookmarkStart w:id="2" w:name="_Toc129787112"/>
      <w:bookmarkStart w:id="3" w:name="_Toc14412"/>
      <w:bookmarkStart w:id="4" w:name="_Toc395426852"/>
      <w:bookmarkStart w:id="5" w:name="_Toc27004"/>
      <w:r>
        <w:rPr>
          <w:rFonts w:hint="eastAsia"/>
          <w:szCs w:val="20"/>
          <w:highlight w:val="none"/>
        </w:rPr>
        <w:t>编制依据</w:t>
      </w:r>
      <w:bookmarkEnd w:id="0"/>
      <w:bookmarkEnd w:id="1"/>
      <w:bookmarkEnd w:id="2"/>
      <w:bookmarkEnd w:id="3"/>
    </w:p>
    <w:p>
      <w:pPr>
        <w:numPr>
          <w:ilvl w:val="0"/>
          <w:numId w:val="7"/>
        </w:numPr>
        <w:spacing w:before="156" w:beforeLines="50" w:after="156" w:afterLines="50" w:line="360" w:lineRule="auto"/>
        <w:ind w:left="420" w:leftChars="200"/>
        <w:rPr>
          <w:highlight w:val="none"/>
        </w:rPr>
      </w:pPr>
      <w:r>
        <w:rPr>
          <w:rFonts w:hint="eastAsia"/>
          <w:highlight w:val="none"/>
        </w:rPr>
        <w:t>本项目的工作内容、工作量及作业难度；</w:t>
      </w:r>
    </w:p>
    <w:p>
      <w:pPr>
        <w:numPr>
          <w:ilvl w:val="0"/>
          <w:numId w:val="7"/>
        </w:numPr>
        <w:spacing w:before="156" w:beforeLines="50" w:after="156" w:afterLines="50" w:line="360" w:lineRule="auto"/>
        <w:ind w:left="420" w:leftChars="200"/>
        <w:rPr>
          <w:highlight w:val="none"/>
        </w:rPr>
      </w:pPr>
      <w:r>
        <w:rPr>
          <w:rFonts w:hint="eastAsia"/>
          <w:highlight w:val="none"/>
        </w:rPr>
        <w:t>本项目的作业流程、技术方案及技术要求；</w:t>
      </w:r>
    </w:p>
    <w:p>
      <w:pPr>
        <w:numPr>
          <w:ilvl w:val="0"/>
          <w:numId w:val="7"/>
        </w:numPr>
        <w:spacing w:before="156" w:beforeLines="50" w:after="156" w:afterLines="50" w:line="360" w:lineRule="auto"/>
        <w:ind w:left="420" w:leftChars="200"/>
        <w:rPr>
          <w:highlight w:val="none"/>
        </w:rPr>
      </w:pPr>
      <w:r>
        <w:rPr>
          <w:rFonts w:hint="eastAsia"/>
          <w:highlight w:val="none"/>
        </w:rPr>
        <w:t>本项目的技术设计方案；</w:t>
      </w:r>
    </w:p>
    <w:p>
      <w:pPr>
        <w:numPr>
          <w:ilvl w:val="0"/>
          <w:numId w:val="7"/>
        </w:numPr>
        <w:spacing w:before="156" w:beforeLines="50" w:after="156" w:afterLines="50" w:line="360" w:lineRule="auto"/>
        <w:ind w:left="420" w:leftChars="200"/>
        <w:rPr>
          <w:highlight w:val="none"/>
        </w:rPr>
      </w:pPr>
      <w:r>
        <w:rPr>
          <w:rFonts w:hint="eastAsia"/>
          <w:highlight w:val="none"/>
        </w:rPr>
        <w:t>拟投入本项目的人员和设备；</w:t>
      </w:r>
    </w:p>
    <w:p>
      <w:pPr>
        <w:numPr>
          <w:ilvl w:val="0"/>
          <w:numId w:val="7"/>
        </w:numPr>
        <w:spacing w:before="156" w:beforeLines="50" w:after="156" w:afterLines="50" w:line="360" w:lineRule="auto"/>
        <w:ind w:left="420" w:leftChars="200"/>
        <w:rPr>
          <w:highlight w:val="none"/>
        </w:rPr>
      </w:pPr>
      <w:r>
        <w:rPr>
          <w:rFonts w:hint="eastAsia"/>
          <w:highlight w:val="none"/>
        </w:rPr>
        <w:t>已完成的类似项目的实际进度，为了避免进度目标的盲目性，进度计划的制定既结合了本项目的特点，又充分参考了同类项目建设的经验。</w:t>
      </w:r>
    </w:p>
    <w:p>
      <w:pPr>
        <w:numPr>
          <w:ilvl w:val="0"/>
          <w:numId w:val="7"/>
        </w:numPr>
        <w:spacing w:before="156" w:beforeLines="50" w:after="156" w:afterLines="50" w:line="360" w:lineRule="auto"/>
        <w:ind w:left="420" w:leftChars="200"/>
        <w:rPr>
          <w:highlight w:val="none"/>
        </w:rPr>
      </w:pPr>
      <w:r>
        <w:rPr>
          <w:rFonts w:hint="eastAsia"/>
          <w:highlight w:val="none"/>
        </w:rPr>
        <w:t>对本项目采用的质量保证措施，充分考虑各工序的检查时间；</w:t>
      </w:r>
    </w:p>
    <w:p>
      <w:pPr>
        <w:numPr>
          <w:ilvl w:val="0"/>
          <w:numId w:val="7"/>
        </w:numPr>
        <w:spacing w:before="156" w:beforeLines="50" w:after="156" w:afterLines="50" w:line="360" w:lineRule="auto"/>
        <w:ind w:left="420" w:leftChars="200"/>
        <w:rPr>
          <w:highlight w:val="none"/>
        </w:rPr>
      </w:pPr>
      <w:r>
        <w:rPr>
          <w:rFonts w:hint="eastAsia"/>
          <w:highlight w:val="none"/>
        </w:rPr>
        <w:t>本项目的已有资料利用及作业环境、作业条件。</w:t>
      </w:r>
    </w:p>
    <w:p>
      <w:pPr>
        <w:pStyle w:val="3"/>
        <w:numPr>
          <w:ilvl w:val="1"/>
          <w:numId w:val="1"/>
        </w:numPr>
        <w:spacing w:before="156" w:beforeLines="50" w:after="156" w:afterLines="50" w:line="360" w:lineRule="auto"/>
        <w:rPr>
          <w:szCs w:val="20"/>
          <w:highlight w:val="none"/>
        </w:rPr>
      </w:pPr>
      <w:bookmarkStart w:id="6" w:name="_Toc129787113"/>
      <w:bookmarkStart w:id="7" w:name="_Toc24608"/>
      <w:r>
        <w:rPr>
          <w:rFonts w:hint="eastAsia"/>
          <w:szCs w:val="20"/>
          <w:highlight w:val="none"/>
        </w:rPr>
        <w:t>工期保证措施</w:t>
      </w:r>
      <w:bookmarkEnd w:id="4"/>
      <w:bookmarkEnd w:id="5"/>
      <w:bookmarkEnd w:id="6"/>
      <w:bookmarkEnd w:id="7"/>
    </w:p>
    <w:p>
      <w:pPr>
        <w:spacing w:before="156" w:beforeLines="50" w:after="156" w:afterLines="50" w:line="360" w:lineRule="auto"/>
        <w:ind w:left="420" w:leftChars="200"/>
        <w:rPr>
          <w:highlight w:val="none"/>
        </w:rPr>
      </w:pPr>
      <w:r>
        <w:rPr>
          <w:rFonts w:hint="eastAsia"/>
          <w:highlight w:val="none"/>
        </w:rPr>
        <w:t>1.组织强有力的项目经理，落实管理岗位的职责，对项目进度、质量、安全进行全过程控制。</w:t>
      </w:r>
    </w:p>
    <w:p>
      <w:pPr>
        <w:spacing w:before="156" w:beforeLines="50" w:after="156" w:afterLines="50" w:line="360" w:lineRule="auto"/>
        <w:ind w:left="420" w:leftChars="200"/>
        <w:rPr>
          <w:highlight w:val="none"/>
        </w:rPr>
      </w:pPr>
      <w:r>
        <w:rPr>
          <w:rFonts w:hint="eastAsia"/>
          <w:highlight w:val="none"/>
        </w:rPr>
        <w:t>2.建立协调会制度，加强对各工序之间工作的协调，及时互通信息，掌握施工动态，注意后续工序的准备，布置工序之间的交接，及时解决施工中出现的各类问题。</w:t>
      </w:r>
    </w:p>
    <w:p>
      <w:pPr>
        <w:spacing w:before="156" w:beforeLines="50" w:after="156" w:afterLines="50" w:line="360" w:lineRule="auto"/>
        <w:ind w:left="420" w:leftChars="200"/>
        <w:rPr>
          <w:highlight w:val="none"/>
        </w:rPr>
      </w:pPr>
      <w:r>
        <w:rPr>
          <w:rFonts w:hint="eastAsia"/>
          <w:highlight w:val="none"/>
        </w:rPr>
        <w:t>3.强化现场管理，落实责、权、利。对各道工序严格把关，避免返工。</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人员要求</w:t>
      </w:r>
    </w:p>
    <w:p>
      <w:pPr>
        <w:spacing w:before="156" w:beforeLines="50" w:after="156" w:afterLines="50" w:line="360" w:lineRule="auto"/>
        <w:ind w:firstLine="420" w:firstLineChars="200"/>
        <w:rPr>
          <w:highlight w:val="none"/>
        </w:rPr>
      </w:pPr>
      <w:r>
        <w:rPr>
          <w:rFonts w:hint="eastAsia"/>
          <w:highlight w:val="none"/>
        </w:rPr>
        <w:t>投标人必须具有稳定的在职技术保障力量，能够提供及时的技术支援或服务，应针对本项目提供不少于10人的项目服务团队（包括项目经理、技术人员等），投标单位的相关服务人员需具备相应的服务能力，需提供相关证明（最近一个月依法缴纳社保费的证明）。</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维护需求</w:t>
      </w:r>
    </w:p>
    <w:p>
      <w:pPr>
        <w:spacing w:before="156" w:beforeLines="50" w:after="156" w:afterLines="50" w:line="360" w:lineRule="auto"/>
        <w:ind w:left="420" w:leftChars="200"/>
        <w:rPr>
          <w:highlight w:val="none"/>
        </w:rPr>
      </w:pPr>
      <w:r>
        <w:rPr>
          <w:rFonts w:hint="eastAsia"/>
          <w:highlight w:val="none"/>
        </w:rPr>
        <w:t>1.在服务期内，中标人需要为采购人提供7X24小时技术支持服务，并提供必要的现场支撑。</w:t>
      </w:r>
    </w:p>
    <w:p>
      <w:pPr>
        <w:spacing w:before="156" w:beforeLines="50" w:after="156" w:afterLines="50" w:line="360" w:lineRule="auto"/>
        <w:ind w:left="420" w:leftChars="200"/>
        <w:rPr>
          <w:highlight w:val="none"/>
        </w:rPr>
      </w:pPr>
      <w:r>
        <w:rPr>
          <w:rFonts w:hint="eastAsia"/>
          <w:highlight w:val="none"/>
        </w:rPr>
        <w:t>2.如接到重大任务，需对模型进行优化或者调整，中标人需派人提供紧急技术服务和支持保障。</w:t>
      </w:r>
    </w:p>
    <w:p>
      <w:pPr>
        <w:pStyle w:val="2"/>
        <w:numPr>
          <w:ilvl w:val="0"/>
          <w:numId w:val="1"/>
        </w:numPr>
        <w:spacing w:before="156" w:beforeLines="50" w:after="156" w:afterLines="50" w:line="360" w:lineRule="auto"/>
        <w:rPr>
          <w:sz w:val="36"/>
          <w:szCs w:val="21"/>
          <w:highlight w:val="none"/>
        </w:rPr>
      </w:pPr>
      <w:r>
        <w:rPr>
          <w:rFonts w:hint="eastAsia"/>
          <w:sz w:val="36"/>
          <w:szCs w:val="21"/>
          <w:highlight w:val="none"/>
        </w:rPr>
        <w:t>验收方式</w:t>
      </w:r>
    </w:p>
    <w:p>
      <w:pPr>
        <w:spacing w:before="156" w:beforeLines="50" w:after="156" w:afterLines="50" w:line="360" w:lineRule="auto"/>
        <w:ind w:firstLine="420" w:firstLineChars="200"/>
        <w:jc w:val="left"/>
        <w:rPr>
          <w:highlight w:val="none"/>
        </w:rPr>
      </w:pPr>
      <w:r>
        <w:rPr>
          <w:rFonts w:hint="eastAsia"/>
          <w:highlight w:val="none"/>
        </w:rPr>
        <w:t>项目完成指挥通信机房改造建设后。经招标人初审后，中标人出具项目总结报告和验收申请，配合招标人组织验收。</w:t>
      </w:r>
    </w:p>
    <w:p>
      <w:pPr>
        <w:spacing w:before="156" w:beforeLines="50" w:after="156" w:afterLines="50" w:line="360" w:lineRule="auto"/>
        <w:ind w:left="420" w:leftChars="200"/>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2E3E"/>
    <w:multiLevelType w:val="singleLevel"/>
    <w:tmpl w:val="DFF82E3E"/>
    <w:lvl w:ilvl="0" w:tentative="0">
      <w:start w:val="1"/>
      <w:numFmt w:val="decimal"/>
      <w:lvlText w:val="%1."/>
      <w:lvlJc w:val="left"/>
      <w:pPr>
        <w:tabs>
          <w:tab w:val="left" w:pos="312"/>
        </w:tabs>
      </w:pPr>
    </w:lvl>
  </w:abstractNum>
  <w:abstractNum w:abstractNumId="1">
    <w:nsid w:val="FE7A8F6C"/>
    <w:multiLevelType w:val="singleLevel"/>
    <w:tmpl w:val="FE7A8F6C"/>
    <w:lvl w:ilvl="0" w:tentative="0">
      <w:start w:val="1"/>
      <w:numFmt w:val="decimal"/>
      <w:suff w:val="space"/>
      <w:lvlText w:val="%1."/>
      <w:lvlJc w:val="left"/>
    </w:lvl>
  </w:abstractNum>
  <w:abstractNum w:abstractNumId="2">
    <w:nsid w:val="037CFF1F"/>
    <w:multiLevelType w:val="singleLevel"/>
    <w:tmpl w:val="037CFF1F"/>
    <w:lvl w:ilvl="0" w:tentative="0">
      <w:start w:val="1"/>
      <w:numFmt w:val="decimal"/>
      <w:suff w:val="space"/>
      <w:lvlText w:val="%1."/>
      <w:lvlJc w:val="left"/>
    </w:lvl>
  </w:abstractNum>
  <w:abstractNum w:abstractNumId="3">
    <w:nsid w:val="1101AF67"/>
    <w:multiLevelType w:val="multilevel"/>
    <w:tmpl w:val="1101AF6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29BF4389"/>
    <w:multiLevelType w:val="singleLevel"/>
    <w:tmpl w:val="29BF4389"/>
    <w:lvl w:ilvl="0" w:tentative="0">
      <w:start w:val="1"/>
      <w:numFmt w:val="decimal"/>
      <w:suff w:val="space"/>
      <w:lvlText w:val="%1."/>
      <w:lvlJc w:val="left"/>
    </w:lvl>
  </w:abstractNum>
  <w:abstractNum w:abstractNumId="5">
    <w:nsid w:val="35FAA279"/>
    <w:multiLevelType w:val="singleLevel"/>
    <w:tmpl w:val="35FAA279"/>
    <w:lvl w:ilvl="0" w:tentative="0">
      <w:start w:val="1"/>
      <w:numFmt w:val="decimal"/>
      <w:suff w:val="space"/>
      <w:lvlText w:val="%1."/>
      <w:lvlJc w:val="left"/>
    </w:lvl>
  </w:abstractNum>
  <w:abstractNum w:abstractNumId="6">
    <w:nsid w:val="6977FD1C"/>
    <w:multiLevelType w:val="singleLevel"/>
    <w:tmpl w:val="6977FD1C"/>
    <w:lvl w:ilvl="0" w:tentative="0">
      <w:start w:val="1"/>
      <w:numFmt w:val="decimal"/>
      <w:suff w:val="space"/>
      <w:lvlText w:val="%1."/>
      <w:lvlJc w:val="left"/>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08"/>
    <w:rsid w:val="00046AA8"/>
    <w:rsid w:val="002C09E5"/>
    <w:rsid w:val="002D32BA"/>
    <w:rsid w:val="003048AA"/>
    <w:rsid w:val="004C0D8B"/>
    <w:rsid w:val="005343D5"/>
    <w:rsid w:val="005D5756"/>
    <w:rsid w:val="00640695"/>
    <w:rsid w:val="00643044"/>
    <w:rsid w:val="00650669"/>
    <w:rsid w:val="00713A55"/>
    <w:rsid w:val="007C45D7"/>
    <w:rsid w:val="00855055"/>
    <w:rsid w:val="00864479"/>
    <w:rsid w:val="00915703"/>
    <w:rsid w:val="009235B8"/>
    <w:rsid w:val="0099266B"/>
    <w:rsid w:val="009D2B63"/>
    <w:rsid w:val="009F5E08"/>
    <w:rsid w:val="00A47C2B"/>
    <w:rsid w:val="00AA475A"/>
    <w:rsid w:val="00B00468"/>
    <w:rsid w:val="00BA3B45"/>
    <w:rsid w:val="00BB5DF7"/>
    <w:rsid w:val="00C912F6"/>
    <w:rsid w:val="00D915D1"/>
    <w:rsid w:val="00E66839"/>
    <w:rsid w:val="00F75F05"/>
    <w:rsid w:val="0C68315E"/>
    <w:rsid w:val="11AA388A"/>
    <w:rsid w:val="11DC3F26"/>
    <w:rsid w:val="170301D4"/>
    <w:rsid w:val="21F051C7"/>
    <w:rsid w:val="2CE9473E"/>
    <w:rsid w:val="2E516783"/>
    <w:rsid w:val="2FCFB4C2"/>
    <w:rsid w:val="2FFDB8FE"/>
    <w:rsid w:val="33FBA8EE"/>
    <w:rsid w:val="39B03C82"/>
    <w:rsid w:val="3BF3B8BF"/>
    <w:rsid w:val="3FFEA970"/>
    <w:rsid w:val="3FFF9690"/>
    <w:rsid w:val="4C4366B2"/>
    <w:rsid w:val="57406680"/>
    <w:rsid w:val="5BBF6C10"/>
    <w:rsid w:val="5DFF3613"/>
    <w:rsid w:val="5E300450"/>
    <w:rsid w:val="637FE151"/>
    <w:rsid w:val="64C45FC2"/>
    <w:rsid w:val="65D75C59"/>
    <w:rsid w:val="6FEB16A1"/>
    <w:rsid w:val="7412152D"/>
    <w:rsid w:val="7BDBA949"/>
    <w:rsid w:val="7D28882B"/>
    <w:rsid w:val="7DD596A4"/>
    <w:rsid w:val="7DFF9515"/>
    <w:rsid w:val="7EBFE715"/>
    <w:rsid w:val="7FBF7C97"/>
    <w:rsid w:val="9DFF646C"/>
    <w:rsid w:val="B7DC02CA"/>
    <w:rsid w:val="CBD61052"/>
    <w:rsid w:val="D7BF9973"/>
    <w:rsid w:val="E3EB8A05"/>
    <w:rsid w:val="E9B745BD"/>
    <w:rsid w:val="EEFF62DD"/>
    <w:rsid w:val="F7CE77A2"/>
    <w:rsid w:val="FDEF4B50"/>
    <w:rsid w:val="FEFF21D9"/>
    <w:rsid w:val="FFFF14E8"/>
    <w:rsid w:val="FFFFC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spacing w:line="240" w:lineRule="auto"/>
      <w:jc w:val="left"/>
    </w:pPr>
    <w:rPr>
      <w:sz w:val="18"/>
      <w:szCs w:val="18"/>
    </w:rPr>
  </w:style>
  <w:style w:type="paragraph" w:styleId="6">
    <w:name w:val="header"/>
    <w:basedOn w:val="1"/>
    <w:link w:val="11"/>
    <w:qFormat/>
    <w:uiPriority w:val="0"/>
    <w:pPr>
      <w:tabs>
        <w:tab w:val="center" w:pos="4153"/>
        <w:tab w:val="right" w:pos="8306"/>
      </w:tabs>
      <w:snapToGrid w:val="0"/>
      <w:spacing w:line="240" w:lineRule="auto"/>
      <w:jc w:val="center"/>
    </w:pPr>
    <w:rPr>
      <w:sz w:val="18"/>
      <w:szCs w:val="18"/>
    </w:rPr>
  </w:style>
  <w:style w:type="paragraph" w:styleId="9">
    <w:name w:val="List Paragraph"/>
    <w:basedOn w:val="1"/>
    <w:qFormat/>
    <w:uiPriority w:val="34"/>
    <w:pPr>
      <w:ind w:firstLine="420"/>
    </w:pPr>
  </w:style>
  <w:style w:type="paragraph" w:customStyle="1" w:styleId="1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11">
    <w:name w:val="页眉 字符"/>
    <w:basedOn w:val="8"/>
    <w:link w:val="6"/>
    <w:qFormat/>
    <w:uiPriority w:val="0"/>
    <w:rPr>
      <w:kern w:val="2"/>
      <w:sz w:val="18"/>
      <w:szCs w:val="18"/>
    </w:rPr>
  </w:style>
  <w:style w:type="character" w:customStyle="1" w:styleId="12">
    <w:name w:val="页脚 字符"/>
    <w:basedOn w:val="8"/>
    <w:link w:val="5"/>
    <w:qFormat/>
    <w:uiPriority w:val="0"/>
    <w:rPr>
      <w:kern w:val="2"/>
      <w:sz w:val="18"/>
      <w:szCs w:val="18"/>
    </w:rPr>
  </w:style>
  <w:style w:type="paragraph" w:customStyle="1" w:styleId="13">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1708</Words>
  <Characters>141</Characters>
  <Lines>1</Lines>
  <Paragraphs>3</Paragraphs>
  <TotalTime>1</TotalTime>
  <ScaleCrop>false</ScaleCrop>
  <LinksUpToDate>false</LinksUpToDate>
  <CharactersWithSpaces>1846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2024-11-25T10:18:00Z</dcterms:created>
  <dc:creator>邵</dc:creator>
  <cp:lastModifiedBy>user</cp:lastModifiedBy>
  <dcterms:modified xsi:type="dcterms:W3CDTF">2024-11-25T16:54:42Z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004DB80D88344E54B7ED789262BE44B0_13</vt:lpwstr>
  </property>
</Properties>
</file>