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48DDA">
      <w:pPr>
        <w:pStyle w:val="2"/>
        <w:keepNext w:val="0"/>
        <w:keepLines w:val="0"/>
        <w:pageBreakBefore w:val="0"/>
        <w:widowControl/>
        <w:suppressLineNumbers w:val="0"/>
        <w:kinsoku/>
        <w:wordWrap/>
        <w:overflowPunct/>
        <w:topLinePunct w:val="0"/>
        <w:autoSpaceDE/>
        <w:autoSpaceDN/>
        <w:bidi w:val="0"/>
        <w:adjustRightInd/>
        <w:spacing w:beforeAutospacing="0" w:afterAutospacing="0" w:line="576" w:lineRule="exact"/>
        <w:ind w:left="0" w:leftChars="0" w:firstLine="0" w:firstLineChars="0"/>
        <w:jc w:val="center"/>
        <w:textAlignment w:val="auto"/>
        <w:rPr>
          <w:rFonts w:hint="eastAsia" w:ascii="Times New Roman" w:hAnsi="Times New Roman" w:eastAsia="方正小标宋简体" w:cs="Times New Roman"/>
          <w:b w:val="0"/>
          <w:bCs/>
          <w:kern w:val="2"/>
          <w:sz w:val="44"/>
          <w:szCs w:val="32"/>
          <w:lang w:val="en-US" w:eastAsia="zh-CN" w:bidi="ar-SA"/>
        </w:rPr>
      </w:pPr>
    </w:p>
    <w:p w14:paraId="00F36BC0">
      <w:pPr>
        <w:pStyle w:val="2"/>
        <w:keepNext w:val="0"/>
        <w:keepLines w:val="0"/>
        <w:pageBreakBefore w:val="0"/>
        <w:widowControl/>
        <w:suppressLineNumbers w:val="0"/>
        <w:kinsoku/>
        <w:wordWrap/>
        <w:overflowPunct/>
        <w:topLinePunct w:val="0"/>
        <w:autoSpaceDE/>
        <w:autoSpaceDN/>
        <w:bidi w:val="0"/>
        <w:adjustRightInd/>
        <w:spacing w:beforeAutospacing="0" w:afterAutospacing="0" w:line="576" w:lineRule="exact"/>
        <w:ind w:left="0" w:leftChars="0" w:firstLine="0" w:firstLineChars="0"/>
        <w:jc w:val="center"/>
        <w:textAlignment w:val="auto"/>
        <w:rPr>
          <w:rFonts w:hint="eastAsia" w:ascii="Times New Roman" w:hAnsi="Times New Roman" w:eastAsia="方正小标宋简体" w:cs="Times New Roman"/>
          <w:b w:val="0"/>
          <w:bCs/>
          <w:kern w:val="2"/>
          <w:sz w:val="44"/>
          <w:szCs w:val="32"/>
          <w:lang w:val="en-US" w:eastAsia="zh-CN" w:bidi="ar-SA"/>
        </w:rPr>
      </w:pPr>
      <w:r>
        <w:rPr>
          <w:rFonts w:hint="eastAsia" w:ascii="Times New Roman" w:hAnsi="Times New Roman" w:eastAsia="方正小标宋简体" w:cs="Times New Roman"/>
          <w:b w:val="0"/>
          <w:bCs/>
          <w:kern w:val="2"/>
          <w:sz w:val="44"/>
          <w:szCs w:val="32"/>
          <w:lang w:val="en-US" w:eastAsia="zh-CN" w:bidi="ar-SA"/>
        </w:rPr>
        <w:t>关于《上海市安全生产信用分级分类管理实施办法（征求意见稿）》起草说明</w:t>
      </w:r>
    </w:p>
    <w:p w14:paraId="3D6624ED">
      <w:pPr>
        <w:rPr>
          <w:rFonts w:hint="eastAsia"/>
          <w:lang w:val="en-US" w:eastAsia="zh-CN"/>
        </w:rPr>
      </w:pPr>
    </w:p>
    <w:p w14:paraId="7DF4F8F6">
      <w:pPr>
        <w:keepNext w:val="0"/>
        <w:keepLines w:val="0"/>
        <w:widowControl/>
        <w:suppressLineNumbers w:val="0"/>
        <w:jc w:val="left"/>
        <w:rPr>
          <w:rFonts w:hint="eastAsia" w:ascii="仿宋_GB2312" w:hAnsi="仿宋_GB2312" w:eastAsia="仿宋_GB2312" w:cs="仿宋_GB2312"/>
          <w:sz w:val="32"/>
          <w:szCs w:val="32"/>
          <w:lang w:val="en-US" w:eastAsia="zh-CN"/>
        </w:rPr>
      </w:pPr>
      <w:r>
        <w:rPr>
          <w:rFonts w:ascii="仿宋_GB2312" w:hAnsi="宋体" w:eastAsia="仿宋_GB2312" w:cs="仿宋_GB2312"/>
          <w:i w:val="0"/>
          <w:iCs w:val="0"/>
          <w:caps w:val="0"/>
          <w:color w:val="000000"/>
          <w:spacing w:val="0"/>
          <w:kern w:val="0"/>
          <w:sz w:val="32"/>
          <w:szCs w:val="32"/>
          <w:lang w:val="en-US" w:eastAsia="zh-CN" w:bidi="ar"/>
        </w:rPr>
        <w:t>为加快</w:t>
      </w:r>
      <w:r>
        <w:rPr>
          <w:rFonts w:hint="eastAsia" w:ascii="仿宋_GB2312" w:hAnsi="宋体" w:eastAsia="仿宋_GB2312" w:cs="仿宋_GB2312"/>
          <w:i w:val="0"/>
          <w:iCs w:val="0"/>
          <w:caps w:val="0"/>
          <w:color w:val="000000"/>
          <w:spacing w:val="0"/>
          <w:kern w:val="0"/>
          <w:sz w:val="32"/>
          <w:szCs w:val="32"/>
          <w:lang w:val="en-US" w:eastAsia="zh-CN" w:bidi="ar"/>
        </w:rPr>
        <w:t>构建以信用为基础的新型监管机制，推进安全生产信用分级分类管理，协同实施守信激励与失信惩戒，提升安全生产监管精准性和有效性，督促生产经营单位全面履行安全生产主体责任，有效预防和减少生产安全事故，以高水平安全保障高质量发展，依据《中华人民共和国安全生产法》《上海市社会信用条例》《上海市安全生产条例》《国务院办公厅关于加快推进社会信用体系建设</w:t>
      </w:r>
      <w:r>
        <w:rPr>
          <w:rFonts w:hint="eastAsia" w:ascii="宋体" w:hAnsi="宋体" w:eastAsia="宋体" w:cs="宋体"/>
          <w:i w:val="0"/>
          <w:iCs w:val="0"/>
          <w:caps w:val="0"/>
          <w:color w:val="000000"/>
          <w:spacing w:val="0"/>
          <w:kern w:val="0"/>
          <w:sz w:val="32"/>
          <w:szCs w:val="32"/>
          <w:lang w:val="en-US" w:eastAsia="zh-CN" w:bidi="ar"/>
        </w:rPr>
        <w:t> </w:t>
      </w:r>
      <w:r>
        <w:rPr>
          <w:rFonts w:hint="eastAsia" w:ascii="仿宋_GB2312" w:hAnsi="宋体" w:eastAsia="仿宋_GB2312" w:cs="仿宋_GB2312"/>
          <w:i w:val="0"/>
          <w:iCs w:val="0"/>
          <w:caps w:val="0"/>
          <w:color w:val="000000"/>
          <w:spacing w:val="0"/>
          <w:kern w:val="0"/>
          <w:sz w:val="32"/>
          <w:szCs w:val="32"/>
          <w:lang w:val="en-US" w:eastAsia="zh-CN" w:bidi="ar"/>
        </w:rPr>
        <w:t>构建以信用为基础的新型监管机制的指导意见》《安全生产严重失信主体名单管理办法》等有关规定，结合本市实际，市应急局</w:t>
      </w:r>
      <w:r>
        <w:rPr>
          <w:rFonts w:hint="eastAsia" w:ascii="仿宋_GB2312" w:hAnsi="宋体" w:cs="仿宋_GB2312"/>
          <w:i w:val="0"/>
          <w:iCs w:val="0"/>
          <w:caps w:val="0"/>
          <w:color w:val="000000"/>
          <w:spacing w:val="0"/>
          <w:kern w:val="0"/>
          <w:sz w:val="32"/>
          <w:szCs w:val="32"/>
          <w:lang w:val="en-US" w:eastAsia="zh-CN" w:bidi="ar"/>
        </w:rPr>
        <w:t>起草</w:t>
      </w:r>
      <w:r>
        <w:rPr>
          <w:rFonts w:hint="eastAsia" w:ascii="仿宋_GB2312" w:hAnsi="宋体" w:eastAsia="仿宋_GB2312" w:cs="仿宋_GB2312"/>
          <w:i w:val="0"/>
          <w:iCs w:val="0"/>
          <w:caps w:val="0"/>
          <w:color w:val="000000"/>
          <w:spacing w:val="0"/>
          <w:kern w:val="0"/>
          <w:sz w:val="32"/>
          <w:szCs w:val="32"/>
          <w:lang w:val="en-US" w:eastAsia="zh-CN" w:bidi="ar"/>
        </w:rPr>
        <w:t>了《上海市安全生产信用分级分类管理办法（征求意见稿）》</w:t>
      </w:r>
      <w:r>
        <w:rPr>
          <w:rFonts w:hint="eastAsia" w:ascii="仿宋_GB2312" w:hAnsi="宋体" w:cs="仿宋_GB2312"/>
          <w:i w:val="0"/>
          <w:iCs w:val="0"/>
          <w:caps w:val="0"/>
          <w:color w:val="000000"/>
          <w:spacing w:val="0"/>
          <w:kern w:val="0"/>
          <w:sz w:val="32"/>
          <w:szCs w:val="32"/>
          <w:lang w:val="en-US" w:eastAsia="zh-CN" w:bidi="ar"/>
        </w:rPr>
        <w:t>（以下简称《办法》）《上海市安全生产信用联合激励与惩戒的若干措施（2026年版）</w:t>
      </w:r>
      <w:r>
        <w:rPr>
          <w:rFonts w:hint="eastAsia" w:ascii="仿宋_GB2312" w:hAnsi="宋体" w:eastAsia="仿宋_GB2312" w:cs="仿宋_GB2312"/>
          <w:i w:val="0"/>
          <w:iCs w:val="0"/>
          <w:caps w:val="0"/>
          <w:color w:val="000000"/>
          <w:spacing w:val="0"/>
          <w:kern w:val="0"/>
          <w:sz w:val="32"/>
          <w:szCs w:val="32"/>
          <w:lang w:val="en-US" w:eastAsia="zh-CN" w:bidi="ar"/>
        </w:rPr>
        <w:t>（征求意见稿）</w:t>
      </w:r>
      <w:r>
        <w:rPr>
          <w:rFonts w:hint="eastAsia" w:ascii="仿宋_GB2312" w:hAnsi="宋体" w:cs="仿宋_GB2312"/>
          <w:i w:val="0"/>
          <w:iCs w:val="0"/>
          <w:caps w:val="0"/>
          <w:color w:val="000000"/>
          <w:spacing w:val="0"/>
          <w:kern w:val="0"/>
          <w:sz w:val="32"/>
          <w:szCs w:val="32"/>
          <w:lang w:val="en-US" w:eastAsia="zh-CN" w:bidi="ar"/>
        </w:rPr>
        <w:t>》（以下简称《若干措施》）</w:t>
      </w:r>
      <w:r>
        <w:rPr>
          <w:rFonts w:hint="eastAsia" w:ascii="仿宋_GB2312" w:hAnsi="仿宋_GB2312" w:eastAsia="仿宋_GB2312" w:cs="仿宋_GB2312"/>
          <w:sz w:val="32"/>
          <w:szCs w:val="32"/>
          <w:lang w:val="en-US" w:eastAsia="zh-CN"/>
        </w:rPr>
        <w:t>，现将有关情况说明如下。</w:t>
      </w:r>
    </w:p>
    <w:p w14:paraId="2561388A">
      <w:pPr>
        <w:keepNext w:val="0"/>
        <w:keepLines w:val="0"/>
        <w:pageBreakBefore w:val="0"/>
        <w:kinsoku/>
        <w:wordWrap/>
        <w:overflowPunct/>
        <w:topLinePunct w:val="0"/>
        <w:autoSpaceDE/>
        <w:autoSpaceDN/>
        <w:bidi w:val="0"/>
        <w:adjustRightInd/>
        <w:snapToGrid w:val="0"/>
        <w:spacing w:beforeAutospacing="0" w:afterAutospacing="0"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一、起草背景</w:t>
      </w:r>
      <w:r>
        <w:rPr>
          <w:rFonts w:hint="eastAsia" w:ascii="仿宋_GB2312" w:hAnsi="仿宋_GB2312" w:eastAsia="仿宋_GB2312" w:cs="仿宋_GB2312"/>
          <w:sz w:val="32"/>
          <w:szCs w:val="32"/>
          <w:lang w:val="en-US" w:eastAsia="zh-CN"/>
        </w:rPr>
        <w:t xml:space="preserve"> </w:t>
      </w:r>
    </w:p>
    <w:p w14:paraId="37CFFA59">
      <w:pPr>
        <w:keepNext w:val="0"/>
        <w:keepLines w:val="0"/>
        <w:pageBreakBefore w:val="0"/>
        <w:kinsoku/>
        <w:wordWrap/>
        <w:overflowPunct/>
        <w:topLinePunct w:val="0"/>
        <w:autoSpaceDE/>
        <w:autoSpaceDN/>
        <w:bidi w:val="0"/>
        <w:adjustRightInd/>
        <w:snapToGrid w:val="0"/>
        <w:spacing w:beforeAutospacing="0" w:afterAutospacing="0"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随着本市经济社会快速发展，生产经营单位数量持续增长，安全生产监管面临资源有限与任务繁重的突出矛盾。为贯彻落实《中共中央、国务院关于推动城市高质量发展的意见》《上海市加快打造国际一流营商环境行动方案(2026年)》</w:t>
      </w:r>
      <w:r>
        <w:rPr>
          <w:rFonts w:hint="eastAsia" w:ascii="仿宋_GB2312" w:hAnsi="仿宋_GB2312" w:cs="仿宋_GB2312"/>
          <w:sz w:val="32"/>
          <w:szCs w:val="32"/>
          <w:lang w:val="en-US" w:eastAsia="zh-CN"/>
        </w:rPr>
        <w:t>等文件中</w:t>
      </w:r>
      <w:r>
        <w:rPr>
          <w:rFonts w:hint="eastAsia" w:ascii="仿宋_GB2312" w:hAnsi="仿宋_GB2312" w:eastAsia="仿宋_GB2312" w:cs="仿宋_GB2312"/>
          <w:sz w:val="32"/>
          <w:szCs w:val="32"/>
          <w:lang w:val="en-US" w:eastAsia="zh-CN"/>
        </w:rPr>
        <w:t>关于推行信用分级分类监管制度的要求，提升安全生产治理体系和治理能力现代化水平，有必要建立健全安全生产信用</w:t>
      </w:r>
      <w:r>
        <w:rPr>
          <w:rFonts w:hint="eastAsia" w:ascii="仿宋_GB2312" w:hAnsi="仿宋_GB2312" w:cs="仿宋_GB2312"/>
          <w:sz w:val="32"/>
          <w:szCs w:val="32"/>
          <w:lang w:val="en-US" w:eastAsia="zh-CN"/>
        </w:rPr>
        <w:t>分级分类</w:t>
      </w:r>
      <w:r>
        <w:rPr>
          <w:rFonts w:hint="eastAsia" w:ascii="仿宋_GB2312" w:hAnsi="仿宋_GB2312" w:eastAsia="仿宋_GB2312" w:cs="仿宋_GB2312"/>
          <w:sz w:val="32"/>
          <w:szCs w:val="32"/>
          <w:lang w:val="en-US" w:eastAsia="zh-CN"/>
        </w:rPr>
        <w:t>管理制度。通过构建科学信用评价体系，对信用优良企业实施减少检查频次等激励措施，对失信企业实施重点监管，有利于优化监管资源配置，营造公平诚信的市场环境，推动安全生产主体责任落实。</w:t>
      </w:r>
    </w:p>
    <w:p w14:paraId="2DA6B8F4">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576"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二、起草依据 </w:t>
      </w:r>
    </w:p>
    <w:p w14:paraId="0801351F">
      <w:pPr>
        <w:keepNext w:val="0"/>
        <w:keepLines w:val="0"/>
        <w:pageBreakBefore w:val="0"/>
        <w:kinsoku/>
        <w:wordWrap/>
        <w:overflowPunct/>
        <w:topLinePunct w:val="0"/>
        <w:autoSpaceDE/>
        <w:autoSpaceDN/>
        <w:bidi w:val="0"/>
        <w:adjustRightInd/>
        <w:snapToGrid w:val="0"/>
        <w:spacing w:beforeAutospacing="0" w:afterAutospacing="0"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依据《中华人民共和国安全生产法》《上海市安全生产条例》《上海市社会信用条例》等法律法规，以及《国务院办公厅关于加快推进社会信用体系建设构建以信用为基础的新型监管机制的指导意见》《上海市优化营商环境条例》《上海市应急管理</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十四五</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规划》等政策文件制定。</w:t>
      </w:r>
    </w:p>
    <w:p w14:paraId="3B9D76BC">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576"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三、起草过程 </w:t>
      </w:r>
    </w:p>
    <w:p w14:paraId="3A154AF4">
      <w:pPr>
        <w:keepNext w:val="0"/>
        <w:keepLines w:val="0"/>
        <w:pageBreakBefore w:val="0"/>
        <w:kinsoku/>
        <w:wordWrap/>
        <w:overflowPunct/>
        <w:topLinePunct w:val="0"/>
        <w:autoSpaceDE/>
        <w:autoSpaceDN/>
        <w:bidi w:val="0"/>
        <w:adjustRightInd/>
        <w:snapToGrid w:val="0"/>
        <w:spacing w:beforeAutospacing="0" w:afterAutospacing="0"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市应急局在前期研究基础上，系统梳理国家及各省市制 度规范，调研市</w:t>
      </w:r>
      <w:r>
        <w:rPr>
          <w:rFonts w:hint="eastAsia" w:ascii="仿宋_GB2312" w:hAnsi="仿宋_GB2312" w:cs="仿宋_GB2312"/>
          <w:sz w:val="32"/>
          <w:szCs w:val="32"/>
          <w:lang w:val="en-US" w:eastAsia="zh-CN"/>
        </w:rPr>
        <w:t>发展改革委、市住建委、市市场监管局、市生态环境局等部门的信用分级分类工作开展情况</w:t>
      </w:r>
      <w:r>
        <w:rPr>
          <w:rFonts w:hint="eastAsia" w:ascii="仿宋_GB2312" w:hAnsi="仿宋_GB2312" w:eastAsia="仿宋_GB2312" w:cs="仿宋_GB2312"/>
          <w:sz w:val="32"/>
          <w:szCs w:val="32"/>
          <w:lang w:val="en-US" w:eastAsia="zh-CN"/>
        </w:rPr>
        <w:t>。邀请应急管理部调查评估和统计司相关负责同志进行政策解读，邀请</w:t>
      </w:r>
      <w:r>
        <w:rPr>
          <w:rFonts w:hint="eastAsia" w:ascii="仿宋_GB2312" w:hAnsi="仿宋_GB2312" w:cs="仿宋_GB2312"/>
          <w:sz w:val="32"/>
          <w:szCs w:val="32"/>
          <w:lang w:val="en-US" w:eastAsia="zh-CN"/>
        </w:rPr>
        <w:t>《办法》涉及的有关部门、区应急管理部门、有关街镇和企业代表多次进行研讨</w:t>
      </w:r>
      <w:r>
        <w:rPr>
          <w:rFonts w:hint="eastAsia" w:ascii="仿宋_GB2312" w:hAnsi="仿宋_GB2312" w:eastAsia="仿宋_GB2312" w:cs="仿宋_GB2312"/>
          <w:sz w:val="32"/>
          <w:szCs w:val="32"/>
          <w:lang w:val="en-US" w:eastAsia="zh-CN"/>
        </w:rPr>
        <w:t>。在此基础上，结合本市实际， 起草了《办法（征求意见稿）》。</w:t>
      </w:r>
    </w:p>
    <w:p w14:paraId="2A2D9C04">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576"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四、主要内容 </w:t>
      </w:r>
    </w:p>
    <w:p w14:paraId="22B54757">
      <w:pPr>
        <w:keepNext w:val="0"/>
        <w:keepLines w:val="0"/>
        <w:pageBreakBefore w:val="0"/>
        <w:kinsoku/>
        <w:wordWrap/>
        <w:overflowPunct/>
        <w:topLinePunct w:val="0"/>
        <w:autoSpaceDE/>
        <w:autoSpaceDN/>
        <w:bidi w:val="0"/>
        <w:adjustRightInd/>
        <w:snapToGrid w:val="0"/>
        <w:spacing w:beforeAutospacing="0" w:afterAutospacing="0"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本《办法》共</w:t>
      </w:r>
      <w:r>
        <w:rPr>
          <w:rFonts w:hint="eastAsia" w:ascii="仿宋_GB2312" w:hAnsi="仿宋_GB2312" w:cs="仿宋_GB2312"/>
          <w:sz w:val="32"/>
          <w:szCs w:val="32"/>
          <w:lang w:val="en-US" w:eastAsia="zh-CN"/>
        </w:rPr>
        <w:t>五</w:t>
      </w:r>
      <w:r>
        <w:rPr>
          <w:rFonts w:hint="eastAsia" w:ascii="仿宋_GB2312" w:hAnsi="仿宋_GB2312" w:eastAsia="仿宋_GB2312" w:cs="仿宋_GB2312"/>
          <w:sz w:val="32"/>
          <w:szCs w:val="32"/>
          <w:lang w:val="en-US" w:eastAsia="zh-CN"/>
        </w:rPr>
        <w:t>章</w:t>
      </w:r>
      <w:r>
        <w:rPr>
          <w:rFonts w:hint="eastAsia" w:ascii="仿宋_GB2312" w:hAnsi="仿宋_GB2312" w:cs="仿宋_GB2312"/>
          <w:sz w:val="32"/>
          <w:szCs w:val="32"/>
          <w:lang w:val="en-US" w:eastAsia="zh-CN"/>
        </w:rPr>
        <w:t>三十六</w:t>
      </w:r>
      <w:r>
        <w:rPr>
          <w:rFonts w:hint="eastAsia" w:ascii="仿宋_GB2312" w:hAnsi="仿宋_GB2312" w:eastAsia="仿宋_GB2312" w:cs="仿宋_GB2312"/>
          <w:sz w:val="32"/>
          <w:szCs w:val="32"/>
          <w:lang w:val="en-US" w:eastAsia="zh-CN"/>
        </w:rPr>
        <w:t>条，主要内容包括：（一）总则。明确</w:t>
      </w:r>
      <w:r>
        <w:rPr>
          <w:rFonts w:hint="eastAsia" w:ascii="仿宋_GB2312" w:hAnsi="仿宋_GB2312" w:cs="仿宋_GB2312"/>
          <w:sz w:val="32"/>
          <w:szCs w:val="32"/>
          <w:lang w:val="en-US" w:eastAsia="zh-CN"/>
        </w:rPr>
        <w:t>目的依据</w:t>
      </w:r>
      <w:r>
        <w:rPr>
          <w:rFonts w:hint="eastAsia" w:ascii="仿宋_GB2312" w:hAnsi="仿宋_GB2312" w:eastAsia="仿宋_GB2312" w:cs="仿宋_GB2312"/>
          <w:sz w:val="32"/>
          <w:szCs w:val="32"/>
          <w:lang w:val="en-US" w:eastAsia="zh-CN"/>
        </w:rPr>
        <w:t>、适用范围、</w:t>
      </w:r>
      <w:r>
        <w:rPr>
          <w:rFonts w:hint="eastAsia" w:ascii="仿宋_GB2312" w:hAnsi="仿宋_GB2312" w:cs="仿宋_GB2312"/>
          <w:sz w:val="32"/>
          <w:szCs w:val="32"/>
          <w:lang w:val="en-US" w:eastAsia="zh-CN"/>
        </w:rPr>
        <w:t>概念界定、</w:t>
      </w:r>
      <w:r>
        <w:rPr>
          <w:rFonts w:hint="eastAsia" w:ascii="仿宋_GB2312" w:hAnsi="仿宋_GB2312" w:eastAsia="仿宋_GB2312" w:cs="仿宋_GB2312"/>
          <w:sz w:val="32"/>
          <w:szCs w:val="32"/>
          <w:lang w:val="en-US" w:eastAsia="zh-CN"/>
        </w:rPr>
        <w:t>职责分工</w:t>
      </w:r>
      <w:r>
        <w:rPr>
          <w:rFonts w:hint="eastAsia" w:ascii="仿宋_GB2312" w:hAnsi="仿宋_GB2312" w:cs="仿宋_GB2312"/>
          <w:sz w:val="32"/>
          <w:szCs w:val="32"/>
          <w:lang w:val="en-US" w:eastAsia="zh-CN"/>
        </w:rPr>
        <w:t>和信用主体义务</w:t>
      </w:r>
      <w:r>
        <w:rPr>
          <w:rFonts w:hint="eastAsia" w:ascii="仿宋_GB2312" w:hAnsi="仿宋_GB2312" w:eastAsia="仿宋_GB2312" w:cs="仿宋_GB2312"/>
          <w:sz w:val="32"/>
          <w:szCs w:val="32"/>
          <w:lang w:val="en-US" w:eastAsia="zh-CN"/>
        </w:rPr>
        <w:t>，确立</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政府统筹、部门协同</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的监管机制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（二）信用信息</w:t>
      </w:r>
      <w:r>
        <w:rPr>
          <w:rFonts w:hint="eastAsia" w:ascii="仿宋_GB2312" w:hAnsi="仿宋_GB2312" w:cs="仿宋_GB2312"/>
          <w:sz w:val="32"/>
          <w:szCs w:val="32"/>
          <w:lang w:val="en-US" w:eastAsia="zh-CN"/>
        </w:rPr>
        <w:t>归集与</w:t>
      </w:r>
      <w:r>
        <w:rPr>
          <w:rFonts w:hint="eastAsia" w:ascii="仿宋_GB2312" w:hAnsi="仿宋_GB2312" w:eastAsia="仿宋_GB2312" w:cs="仿宋_GB2312"/>
          <w:sz w:val="32"/>
          <w:szCs w:val="32"/>
          <w:lang w:val="en-US" w:eastAsia="zh-CN"/>
        </w:rPr>
        <w:t>管理。规定信用信息的分类范围、归集</w:t>
      </w:r>
      <w:r>
        <w:rPr>
          <w:rFonts w:hint="eastAsia" w:ascii="仿宋_GB2312" w:hAnsi="仿宋_GB2312" w:cs="仿宋_GB2312"/>
          <w:sz w:val="32"/>
          <w:szCs w:val="32"/>
          <w:lang w:val="en-US" w:eastAsia="zh-CN"/>
        </w:rPr>
        <w:t>时间基准等</w:t>
      </w:r>
      <w:r>
        <w:rPr>
          <w:rFonts w:hint="eastAsia" w:ascii="仿宋_GB2312" w:hAnsi="仿宋_GB2312" w:eastAsia="仿宋_GB2312" w:cs="仿宋_GB2312"/>
          <w:sz w:val="32"/>
          <w:szCs w:val="32"/>
          <w:lang w:val="en-US" w:eastAsia="zh-CN"/>
        </w:rPr>
        <w:t>原则和管理要求，明确公共信用信息、安全管理信息、安全监管信息三类信息的管理规范</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（三）信用评价应用。建立量化评分评价体系，将评价结果划分为优、良、中、差、严重失信五个等级，明确动态调整和异议处理机制</w:t>
      </w:r>
      <w:r>
        <w:rPr>
          <w:rFonts w:hint="eastAsia" w:ascii="仿宋_GB2312" w:hAnsi="仿宋_GB2312" w:cs="仿宋_GB2312"/>
          <w:sz w:val="32"/>
          <w:szCs w:val="32"/>
          <w:lang w:val="en-US" w:eastAsia="zh-CN"/>
        </w:rPr>
        <w:t>，以及激励和惩戒措施；</w:t>
      </w:r>
      <w:r>
        <w:rPr>
          <w:rFonts w:hint="eastAsia" w:ascii="仿宋_GB2312" w:hAnsi="仿宋_GB2312" w:eastAsia="仿宋_GB2312" w:cs="仿宋_GB2312"/>
          <w:sz w:val="32"/>
          <w:szCs w:val="32"/>
          <w:lang w:val="en-US" w:eastAsia="zh-CN"/>
        </w:rPr>
        <w:t>（四）保障支持。明确部门协同、信息共享、监督问责等配套保障措施</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五</w:t>
      </w:r>
      <w:r>
        <w:rPr>
          <w:rFonts w:hint="eastAsia" w:ascii="仿宋_GB2312" w:hAnsi="仿宋_GB2312" w:eastAsia="仿宋_GB2312" w:cs="仿宋_GB2312"/>
          <w:sz w:val="32"/>
          <w:szCs w:val="32"/>
          <w:lang w:val="en-US" w:eastAsia="zh-CN"/>
        </w:rPr>
        <w:t>）附则。规定解释权和施行日期。</w:t>
      </w:r>
    </w:p>
    <w:p w14:paraId="0F967CAE">
      <w:pPr>
        <w:keepNext w:val="0"/>
        <w:keepLines w:val="0"/>
        <w:pageBreakBefore w:val="0"/>
        <w:kinsoku/>
        <w:wordWrap/>
        <w:overflowPunct/>
        <w:topLinePunct w:val="0"/>
        <w:autoSpaceDE/>
        <w:autoSpaceDN/>
        <w:bidi w:val="0"/>
        <w:adjustRightInd/>
        <w:snapToGrid w:val="0"/>
        <w:spacing w:beforeAutospacing="0" w:afterAutospacing="0"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五、需要重点说明的问题</w:t>
      </w:r>
      <w:r>
        <w:rPr>
          <w:rFonts w:hint="eastAsia" w:ascii="仿宋_GB2312" w:hAnsi="仿宋_GB2312" w:eastAsia="仿宋_GB2312" w:cs="仿宋_GB2312"/>
          <w:sz w:val="32"/>
          <w:szCs w:val="32"/>
          <w:lang w:val="en-US" w:eastAsia="zh-CN"/>
        </w:rPr>
        <w:t xml:space="preserve"> </w:t>
      </w:r>
    </w:p>
    <w:p w14:paraId="434E2C2F">
      <w:pPr>
        <w:keepNext w:val="0"/>
        <w:keepLines w:val="0"/>
        <w:pageBreakBefore w:val="0"/>
        <w:kinsoku/>
        <w:wordWrap/>
        <w:overflowPunct/>
        <w:topLinePunct w:val="0"/>
        <w:autoSpaceDE/>
        <w:autoSpaceDN/>
        <w:bidi w:val="0"/>
        <w:adjustRightInd/>
        <w:snapToGrid w:val="0"/>
        <w:spacing w:beforeAutospacing="0" w:afterAutospacing="0" w:line="576" w:lineRule="exact"/>
        <w:ind w:firstLine="640" w:firstLineChars="200"/>
        <w:jc w:val="lef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（一）关于评价指标体系与《若干措施》的动态性与灵活性。​ </w:t>
      </w:r>
    </w:p>
    <w:p w14:paraId="3E7F7E02">
      <w:pPr>
        <w:keepNext w:val="0"/>
        <w:keepLines w:val="0"/>
        <w:pageBreakBefore w:val="0"/>
        <w:kinsoku/>
        <w:wordWrap/>
        <w:overflowPunct/>
        <w:topLinePunct w:val="0"/>
        <w:autoSpaceDE/>
        <w:autoSpaceDN/>
        <w:bidi w:val="0"/>
        <w:adjustRightInd/>
        <w:snapToGrid w:val="0"/>
        <w:spacing w:beforeAutospacing="0" w:afterAutospacing="0"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安全生产领域的风险特点和管理要求处于不断发展变化之中。因此，《办法》在设定评价基本框架和原则的基础上，市应急管理局会同有关部门制定并适时调整具体的评价指标、分值和权重以及《若干措施》</w:t>
      </w:r>
      <w:r>
        <w:rPr>
          <w:rFonts w:hint="eastAsia" w:ascii="仿宋_GB2312" w:hAnsi="仿宋_GB2312" w:eastAsia="仿宋_GB2312" w:cs="仿宋_GB2312"/>
          <w:sz w:val="32"/>
          <w:szCs w:val="32"/>
          <w:lang w:val="en-US" w:eastAsia="zh-CN"/>
        </w:rPr>
        <w:t>。这既能保证制度的统一性和规范性，又能根据监管重点的转移、事故规律的变化以及新技术新业态的出现，及时优化评价标准，保持制度的科学性和适应性。具体的评价标准将以配套文件形式另行发布。</w:t>
      </w:r>
    </w:p>
    <w:p w14:paraId="2B7FE308">
      <w:pPr>
        <w:keepNext w:val="0"/>
        <w:keepLines w:val="0"/>
        <w:pageBreakBefore w:val="0"/>
        <w:kinsoku/>
        <w:wordWrap/>
        <w:overflowPunct/>
        <w:topLinePunct w:val="0"/>
        <w:autoSpaceDE/>
        <w:autoSpaceDN/>
        <w:bidi w:val="0"/>
        <w:adjustRightInd/>
        <w:snapToGrid w:val="0"/>
        <w:spacing w:beforeAutospacing="0" w:afterAutospacing="0" w:line="576" w:lineRule="exact"/>
        <w:ind w:firstLine="640" w:firstLineChars="200"/>
        <w:jc w:val="lef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（二）关于实施步骤的稳妥性与渐进性。​ </w:t>
      </w:r>
    </w:p>
    <w:p w14:paraId="47ACE960">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考虑到信用</w:t>
      </w:r>
      <w:r>
        <w:rPr>
          <w:rFonts w:hint="eastAsia" w:ascii="仿宋_GB2312" w:hAnsi="仿宋_GB2312" w:cs="仿宋_GB2312"/>
          <w:sz w:val="32"/>
          <w:szCs w:val="32"/>
          <w:lang w:val="en-US" w:eastAsia="zh-CN"/>
        </w:rPr>
        <w:t>分级分类</w:t>
      </w:r>
      <w:r>
        <w:rPr>
          <w:rFonts w:hint="eastAsia" w:ascii="仿宋_GB2312" w:hAnsi="仿宋_GB2312" w:eastAsia="仿宋_GB2312" w:cs="仿宋_GB2312"/>
          <w:sz w:val="32"/>
          <w:szCs w:val="32"/>
          <w:lang w:val="en-US" w:eastAsia="zh-CN"/>
        </w:rPr>
        <w:t>管理是一项系统性、创新性的工作，涉及面广，《办法》的实施将采取“重点先行、稳步推进”的策略。计划率先在</w:t>
      </w:r>
      <w:r>
        <w:rPr>
          <w:rFonts w:hint="eastAsia" w:ascii="仿宋_GB2312" w:hAnsi="仿宋_GB2312" w:cs="仿宋_GB2312"/>
          <w:sz w:val="32"/>
          <w:szCs w:val="32"/>
          <w:lang w:val="en-US" w:eastAsia="zh-CN"/>
        </w:rPr>
        <w:t>典型区域实施</w:t>
      </w:r>
      <w:r>
        <w:rPr>
          <w:rFonts w:hint="eastAsia" w:ascii="仿宋_GB2312" w:hAnsi="仿宋_GB2312" w:eastAsia="仿宋_GB2312" w:cs="仿宋_GB2312"/>
          <w:sz w:val="32"/>
          <w:szCs w:val="32"/>
          <w:lang w:val="en-US" w:eastAsia="zh-CN"/>
        </w:rPr>
        <w:t>推行</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在积累一定经验、完善运行机制后，再逐步扩大覆盖范围。同时，将设置合理的过渡期，加强政策宣传解读和操作培训，确保各类市场主体，特别是广大中小企业能够充分理解、适应并积极参与到信用建设中来，保障制度平稳落地、有效运行。</w:t>
      </w:r>
    </w:p>
    <w:p w14:paraId="12EEB695">
      <w:pPr>
        <w:keepNext w:val="0"/>
        <w:keepLines w:val="0"/>
        <w:pageBreakBefore w:val="0"/>
        <w:kinsoku/>
        <w:wordWrap/>
        <w:overflowPunct/>
        <w:topLinePunct w:val="0"/>
        <w:autoSpaceDE/>
        <w:autoSpaceDN/>
        <w:bidi w:val="0"/>
        <w:adjustRightInd/>
        <w:snapToGrid w:val="0"/>
        <w:spacing w:beforeAutospacing="0" w:afterAutospacing="0" w:line="576" w:lineRule="exact"/>
        <w:ind w:firstLine="640" w:firstLineChars="200"/>
        <w:jc w:val="lef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（三）关于与现行政策的衔接与协同。​ </w:t>
      </w:r>
    </w:p>
    <w:p w14:paraId="080A910A">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576"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《办法》在设计时，高度重视与本市既有的企业安全生产标准化建设、安全生产责任保险、安全生产</w:t>
      </w:r>
      <w:r>
        <w:rPr>
          <w:rFonts w:hint="eastAsia" w:ascii="仿宋_GB2312" w:hAnsi="仿宋_GB2312" w:cs="仿宋_GB2312"/>
          <w:sz w:val="32"/>
          <w:szCs w:val="32"/>
          <w:lang w:val="en-US" w:eastAsia="zh-CN"/>
        </w:rPr>
        <w:t>严重失信主体名单</w:t>
      </w:r>
      <w:r>
        <w:rPr>
          <w:rFonts w:hint="eastAsia" w:ascii="仿宋_GB2312" w:hAnsi="仿宋_GB2312" w:eastAsia="仿宋_GB2312" w:cs="仿宋_GB2312"/>
          <w:sz w:val="32"/>
          <w:szCs w:val="32"/>
          <w:lang w:val="en-US" w:eastAsia="zh-CN"/>
        </w:rPr>
        <w:t>等制度机制的有机融合。力求将相关工作的成果有效转化为信用评价的“输入”，并将信用评价结果反馈应用于上述工作的“输出”，形成政策合力，避免“多套标准”、“重复评价”，减轻企业负担。</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0148B"/>
    <w:rsid w:val="002E43DA"/>
    <w:rsid w:val="12205FC9"/>
    <w:rsid w:val="1AD1680D"/>
    <w:rsid w:val="1CD062D3"/>
    <w:rsid w:val="1F8E3975"/>
    <w:rsid w:val="29096C93"/>
    <w:rsid w:val="2E7D7A9A"/>
    <w:rsid w:val="3D80148B"/>
    <w:rsid w:val="3EB47A6E"/>
    <w:rsid w:val="41F744AB"/>
    <w:rsid w:val="437F7426"/>
    <w:rsid w:val="48BC5245"/>
    <w:rsid w:val="4A12014B"/>
    <w:rsid w:val="51FE4127"/>
    <w:rsid w:val="5DAE2FE5"/>
    <w:rsid w:val="60C15B3E"/>
    <w:rsid w:val="61C66EFA"/>
    <w:rsid w:val="64244CEF"/>
    <w:rsid w:val="66AF141C"/>
    <w:rsid w:val="6974E043"/>
    <w:rsid w:val="6C141E76"/>
    <w:rsid w:val="772F4FF9"/>
    <w:rsid w:val="79ED9E14"/>
    <w:rsid w:val="FEDF7944"/>
    <w:rsid w:val="FFEE8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8"/>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12"/>
    <w:semiHidden/>
    <w:unhideWhenUsed/>
    <w:qFormat/>
    <w:uiPriority w:val="0"/>
    <w:pPr>
      <w:keepNext/>
      <w:keepLines/>
      <w:ind w:firstLine="0" w:firstLineChars="0"/>
      <w:outlineLvl w:val="2"/>
    </w:pPr>
    <w:rPr>
      <w:rFonts w:ascii="Times New Roman" w:hAnsi="Times New Roman" w:eastAsia="楷体" w:cs="Times New Roman"/>
      <w:bCs/>
      <w:kern w:val="0"/>
      <w:sz w:val="32"/>
      <w:szCs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仿宋_GB2312"/>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customStyle="1" w:styleId="8">
    <w:name w:val="标题 1 Char"/>
    <w:basedOn w:val="7"/>
    <w:link w:val="2"/>
    <w:qFormat/>
    <w:uiPriority w:val="99"/>
    <w:rPr>
      <w:rFonts w:ascii="Times New Roman" w:hAnsi="Times New Roman" w:eastAsia="方正小标宋简体"/>
      <w:bCs/>
      <w:kern w:val="44"/>
      <w:sz w:val="44"/>
      <w:szCs w:val="44"/>
    </w:rPr>
  </w:style>
  <w:style w:type="paragraph" w:customStyle="1" w:styleId="9">
    <w:name w:val="正文标题"/>
    <w:basedOn w:val="1"/>
    <w:qFormat/>
    <w:uiPriority w:val="0"/>
    <w:pPr>
      <w:ind w:firstLine="0" w:firstLineChars="0"/>
      <w:jc w:val="center"/>
    </w:pPr>
    <w:rPr>
      <w:rFonts w:hint="eastAsia" w:ascii="方正公文小标宋" w:hAnsi="方正公文小标宋" w:eastAsia="方正公文小标宋" w:cs="方正公文小标宋"/>
      <w:sz w:val="44"/>
      <w:szCs w:val="44"/>
    </w:rPr>
  </w:style>
  <w:style w:type="paragraph" w:customStyle="1" w:styleId="10">
    <w:name w:val="一级标题"/>
    <w:basedOn w:val="1"/>
    <w:next w:val="1"/>
    <w:qFormat/>
    <w:uiPriority w:val="0"/>
    <w:pPr>
      <w:ind w:firstLine="0" w:firstLineChars="0"/>
      <w:jc w:val="left"/>
    </w:pPr>
    <w:rPr>
      <w:rFonts w:hint="default" w:eastAsia="黑体"/>
    </w:rPr>
  </w:style>
  <w:style w:type="character" w:customStyle="1" w:styleId="11">
    <w:name w:val="标题 2 Char"/>
    <w:link w:val="3"/>
    <w:qFormat/>
    <w:uiPriority w:val="0"/>
    <w:rPr>
      <w:rFonts w:ascii="Arial" w:hAnsi="Arial" w:eastAsia="黑体" w:cstheme="minorBidi"/>
      <w:kern w:val="2"/>
      <w:sz w:val="32"/>
      <w:szCs w:val="24"/>
      <w:lang w:val="en-US" w:eastAsia="zh-CN" w:bidi="ar-SA"/>
    </w:rPr>
  </w:style>
  <w:style w:type="character" w:customStyle="1" w:styleId="12">
    <w:name w:val="标题 3 Char"/>
    <w:link w:val="4"/>
    <w:qFormat/>
    <w:uiPriority w:val="9"/>
    <w:rPr>
      <w:rFonts w:ascii="Times New Roman" w:hAnsi="Times New Roman" w:eastAsia="楷体" w:cs="Times New Roman"/>
      <w:bCs/>
      <w:kern w:val="0"/>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1006</Words>
  <Characters>1010</Characters>
  <Lines>0</Lines>
  <Paragraphs>0</Paragraphs>
  <TotalTime>10</TotalTime>
  <ScaleCrop>false</ScaleCrop>
  <LinksUpToDate>false</LinksUpToDate>
  <CharactersWithSpaces>1015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2026-01-13T15:44:00Z</dcterms:created>
  <dc:creator>上水寒</dc:creator>
  <cp:lastModifiedBy>刘传洲</cp:lastModifiedBy>
  <cp:lastPrinted>2026-03-13T08:16:00Z</cp:lastPrinted>
  <dcterms:modified xsi:type="dcterms:W3CDTF">2026-05-27T15:09:42Z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FE8A078FE754E08B2893166AD8AC0C53_43</vt:lpwstr>
  </property>
  <property fmtid="{D5CDD505-2E9C-101B-9397-08002B2CF9AE}" pid="4" name="KSOTemplateDocerSaveRecord">
    <vt:lpwstr>eyJoZGlkIjoiODY4NGU4NjY0YmUxZTY3MDQ4YWM1MjA2MmEzN2QyZjAiLCJ1c2VySWQiOiI1MzMxNTQyMDMifQ==</vt:lpwstr>
  </property>
</Properties>
</file>