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</w:rPr>
      </w:pPr>
      <w:bookmarkStart w:id="0" w:name="_Toc31726"/>
      <w:bookmarkStart w:id="1" w:name="_Toc63440139"/>
      <w:r>
        <w:rPr>
          <w:rFonts w:hint="eastAsia" w:asciiTheme="minorEastAsia" w:hAnsiTheme="minorEastAsia" w:eastAsiaTheme="minorEastAsia"/>
          <w:b/>
          <w:sz w:val="28"/>
        </w:rPr>
        <w:t>采购需求</w:t>
      </w:r>
      <w:bookmarkEnd w:id="0"/>
      <w:bookmarkEnd w:id="1"/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bookmarkStart w:id="2" w:name="OLE_LINK10"/>
      <w:bookmarkStart w:id="3" w:name="OLE_LINK9"/>
      <w:bookmarkStart w:id="4" w:name="OLE_LINK8"/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一、货物需求</w:t>
      </w:r>
    </w:p>
    <w:bookmarkEnd w:id="2"/>
    <w:bookmarkEnd w:id="3"/>
    <w:bookmarkEnd w:id="4"/>
    <w:tbl>
      <w:tblPr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020"/>
        <w:gridCol w:w="3917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装备名称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气密阻燃化学防护服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用于化学品泄露和爆燃环境下的安全防护。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1.符合GB 24540标准要求；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2.防护等级：全封闭A级防护服；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3.克重：小于300g/㎡;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4.厚度：大于0.8mm；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5.面罩结构：大于2层；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6.穿入方式：正面；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7.连体手套：符合化学防护和机械防护要求；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8.排气阀：大于1个，阀门采用单向正压阀；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9.可容纳自携式空气呼吸器（SCBA）。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气密性防化服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用于化学危险品处理，化学事故应急救援处置。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1.符合GB 24540标准要求；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2.防护等级：全封闭A级防护服；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3.可燃等级标准：1级；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4.防护性能：丙酮、乙腈、甲醇、硝基苯、甲苯等化学品防护时长大于3小时；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5.克重：小于450g/㎡;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6.厚度：大于0.6mm；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7.排气阀：大于1个，阀门采用单向正压阀；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8.可容纳自携式空气呼吸器（SCBA）。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正压式空气呼吸器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1.符合GA124《正压式消防空气呼吸器》要求；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2.面罩：具有大视野面窗，透明度高、耐磨性强、具有防雾功能，网状头罩式佩戴方式，符合气密性要求；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3.快速接头：可单手操作、有锁紧防脱功能；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4.瓶头阀：具有高压安全装置，开启力矩小。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5.压力表：具有夜视功能；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6.气瓶：容量6.8L，工作时长大于40min，工作压力30MPa，爆破压力大于80MPa。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AED除颤仪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1.符合GB9706.204-2022标准要求；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2.含电池重量：小于2KG，携带性高；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3.防尘防水系数：IP55；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4.具备充电完成的声光提示和明确的语音及图形提示；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5.电池：支持至少 200次电击治疗；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6.具备完备的自检功能。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可视化调度终端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1.屏幕尺寸：130英寸；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2.比例：21：9和32：9宽屏；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3.边框：小于等于5mm；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4.屏幕占比：大于95%；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5.亮度：450cd/㎡；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6.触摸屏类型：红外触摸；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7.信号输入：支持双信号源接入，支持电脑、手机、平板投屏。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接地电阻测试仪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1.测量范围：0～20kΩ；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2.分辨率：0.01Ω/0.1Ω/1Ω；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3.测量频率：125Hz/150Hz/正弦波；                                                   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4.电源：5号电池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5.精度：0.1Ω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6.重复误差：±3%rdg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7.尺 寸：110*165*70mm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8.取得相应防爆等级认证。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四合一气体检测仪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1可检测一氧化碳、硫化氢、甲烷等气体；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2取得相应防爆等级认证；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3.量程：一氧化碳0-1000ppm，硫化氢0-500ppm，甲烷0-100%LEL，氧气0-30%Vol 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4.分辨率：一氧化碳1ppm，硫化氢0.1ppm，甲烷0.01%Vol，氧气0.1%Vol；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5.精度：一氧化碳1、硫化氢、甲烷 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5%，氧气</w:t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1%；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6.电池：可充电，一般可使用10小时；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7.操作温度：-20*C至+50*C；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8.工作湿度：15%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90%</w:t>
            </w:r>
            <w:r>
              <w:rPr>
                <w:rFonts w:ascii="DejaVu Sans" w:hAnsi="DejaVu Sans" w:eastAsia="DejaVu Sans" w:cs="DejaVu San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RH。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雨衣</w:t>
            </w:r>
          </w:p>
        </w:tc>
        <w:tc>
          <w:tcPr>
            <w:tcW w:w="3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1.防水性能：达到8000mm防水等级；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2.透气性能：达到5000g/㎡-24h透气等级；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3.其他要求：双层结构，袖口和口袋进行防水设计，具有防紫外线、防静电、防燃烧、耐化学性性能，提供多种尺码选择。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雨鞋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1具有防水性、防砸、防刺和电绝缘性能；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2.鞋底防滑功能。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雨伞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1.类型:直杆雨伞；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2.骨架数量：16骨；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3.伞架材质：玻璃纤维；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4.伞面具有防水涂层。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手提式照明设备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1.重量：小于1000g；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2.配用光源：LED；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3.功率：9/3W；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4.连续工作时间：大于6小时；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5.取得相应防爆等级认证。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多合一充电及数据传输线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1.包含Type-C、安卓Micro-USB和苹果Lighting接头；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2.功率：大于等于100W；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3.支持主流品牌手机快充。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应急标识服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1可正反穿着背心；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2.后背印“应急管理”字样；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3.可根据需求定制颜色。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战术快拔手电套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1.重量：小于150克；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2.适配腰带宽度：小于60mm；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3.适配手电筒身直径：25-32mm。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充电宝及转换接头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1.符合GB/T 35590标准要求；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2.容量：24000mAh；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3.功率：双向140W；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4.支持设备：华为、苹果、小米等多品牌。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双肩包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1.材质：600D高强尼龙；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2.包体正、侧、底、内部均有挂载装置；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3.主仓有内隔袋、隔层。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望远镜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1.倍率：15倍；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2.物镜直径：56mm；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3.出瞳直径：3.8mm；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4.千米处视野范围：76m；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5.防护等级：IPX-7级防水，充氮防雾。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二、项目预算</w:t>
      </w:r>
    </w:p>
    <w:p>
      <w:pPr>
        <w:spacing w:line="360" w:lineRule="auto"/>
        <w:ind w:firstLine="480" w:firstLineChars="200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87万元</w:t>
      </w:r>
      <w:r>
        <w:rPr>
          <w:rFonts w:hint="eastAsia" w:ascii="宋体" w:hAnsi="宋体" w:eastAsia="宋体"/>
          <w:sz w:val="24"/>
          <w:szCs w:val="18"/>
        </w:rPr>
        <w:t>。</w:t>
      </w:r>
    </w:p>
    <w:p>
      <w:pPr>
        <w:spacing w:line="360" w:lineRule="auto"/>
        <w:outlineLvl w:val="1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三、报价要求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（1）投标人所有产品报价包括设备采购、运输、搬运、保存、安装、售后、验收、税费以及安装完毕</w:t>
      </w:r>
      <w:bookmarkStart w:id="5" w:name="_GoBack"/>
      <w:bookmarkEnd w:id="5"/>
      <w:r>
        <w:rPr>
          <w:rFonts w:hint="eastAsia" w:ascii="宋体" w:hAnsi="宋体" w:eastAsia="宋体" w:cs="宋体"/>
          <w:sz w:val="24"/>
          <w:szCs w:val="24"/>
        </w:rPr>
        <w:t>验收合格前的成品保护等所有费用。投标人应针对本次采购设备提供全流程、全环节的服务，并承担所产生的一切服务费用。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（2）设备清单仅为基本配置，对招标文件未明确及不能预测的部分，投标人实际交付设备应以满足采购人建设需求为准，费用由投标人承担。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（3）对本文件未列明，而投标人认为必须的费用也须列入投标总报价。在合同实施时，采购人将不予支付中标人没有列入的项目费用，并认为此项目的费用已包含在投标总报价中。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@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75"/>
    <w:rsid w:val="000438EE"/>
    <w:rsid w:val="00364E53"/>
    <w:rsid w:val="00477C57"/>
    <w:rsid w:val="005D5D26"/>
    <w:rsid w:val="00646D66"/>
    <w:rsid w:val="008E5C75"/>
    <w:rsid w:val="008F36F1"/>
    <w:rsid w:val="009305AF"/>
    <w:rsid w:val="33FB8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3 Char"/>
    <w:basedOn w:val="6"/>
    <w:link w:val="2"/>
    <w:semiHidden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paragraph" w:customStyle="1" w:styleId="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9">
    <w:name w:val="D&amp;L"/>
    <w:basedOn w:val="3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character" w:customStyle="1" w:styleId="11">
    <w:name w:val="font11"/>
    <w:basedOn w:val="6"/>
    <w:uiPriority w:val="0"/>
    <w:rPr>
      <w:rFonts w:ascii="DejaVu Sans" w:hAnsi="DejaVu Sans" w:eastAsia="DejaVu Sans" w:cs="DejaVu Sans"/>
      <w:color w:val="000000"/>
      <w:sz w:val="20"/>
      <w:szCs w:val="20"/>
      <w:u w:val="none"/>
    </w:rPr>
  </w:style>
  <w:style w:type="character" w:customStyle="1" w:styleId="12">
    <w:name w:val="font01"/>
    <w:basedOn w:val="6"/>
    <w:uiPriority w:val="0"/>
    <w:rPr>
      <w:rFonts w:hint="default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13">
    <w:name w:val="font21"/>
    <w:basedOn w:val="6"/>
    <w:uiPriority w:val="0"/>
    <w:rPr>
      <w:rFonts w:hint="default" w:ascii="方正仿宋_GB2312" w:hAnsi="方正仿宋_GB2312" w:eastAsia="方正仿宋_GB2312" w:cs="方正仿宋_GB231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473</Words>
  <Characters>2699</Characters>
  <Lines>22</Lines>
  <Paragraphs>6</Paragraphs>
  <TotalTime>23</TotalTime>
  <ScaleCrop>false</ScaleCrop>
  <LinksUpToDate>false</LinksUpToDate>
  <CharactersWithSpaces>3166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2024-09-02T09:58:00Z</dcterms:created>
  <dc:creator>王华罗</dc:creator>
  <cp:lastModifiedBy>user</cp:lastModifiedBy>
  <dcterms:modified xsi:type="dcterms:W3CDTF">2024-10-23T12:41:44Z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