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color w:val="000000"/>
          <w:sz w:val="32"/>
          <w:szCs w:val="32"/>
        </w:rPr>
      </w:pPr>
      <w:bookmarkStart w:id="0" w:name="_Toc96362617"/>
      <w:r>
        <w:rPr>
          <w:b/>
          <w:color w:val="000000"/>
          <w:sz w:val="32"/>
          <w:szCs w:val="32"/>
        </w:rPr>
        <w:t>响应文件格式</w:t>
      </w:r>
      <w:bookmarkEnd w:id="0"/>
    </w:p>
    <w:p>
      <w:pPr>
        <w:widowControl/>
        <w:jc w:val="left"/>
        <w:rPr>
          <w:rFonts w:ascii="Times New Roman"/>
          <w:u w:val="none"/>
        </w:rPr>
      </w:pPr>
    </w:p>
    <w:p>
      <w:pPr>
        <w:widowControl/>
        <w:jc w:val="left"/>
        <w:rPr>
          <w:rFonts w:ascii="Times New Roman"/>
          <w:b/>
          <w:bCs/>
          <w:u w:val="none"/>
        </w:rPr>
      </w:pPr>
    </w:p>
    <w:p>
      <w:pPr>
        <w:widowControl/>
        <w:jc w:val="left"/>
        <w:rPr>
          <w:rFonts w:hint="eastAsia" w:ascii="Times New Roman"/>
          <w:b/>
          <w:bCs/>
          <w:u w:val="none"/>
        </w:rPr>
      </w:pPr>
      <w:r>
        <w:rPr>
          <w:rFonts w:hint="eastAsia"/>
          <w:b/>
          <w:bCs/>
          <w:u w:val="none"/>
          <w:lang w:val="en-US" w:eastAsia="zh-CN"/>
        </w:rPr>
        <w:t xml:space="preserve">一、 </w:t>
      </w:r>
      <w:r>
        <w:rPr>
          <w:rFonts w:ascii="Times New Roman"/>
          <w:b/>
          <w:bCs/>
          <w:u w:val="none"/>
        </w:rPr>
        <w:t xml:space="preserve"> </w:t>
      </w:r>
      <w:r>
        <w:rPr>
          <w:rFonts w:hint="eastAsia" w:ascii="Times New Roman"/>
          <w:b/>
          <w:bCs/>
          <w:u w:val="none"/>
        </w:rPr>
        <w:t>申请人联系信息表</w:t>
      </w:r>
    </w:p>
    <w:p>
      <w:pPr>
        <w:widowControl/>
        <w:jc w:val="left"/>
        <w:rPr>
          <w:rFonts w:hint="eastAsia" w:ascii="Times New Roman"/>
          <w:u w:val="none"/>
        </w:rPr>
      </w:pPr>
    </w:p>
    <w:p>
      <w:pPr>
        <w:snapToGrid w:val="0"/>
        <w:ind w:firstLine="880"/>
        <w:jc w:val="center"/>
        <w:rPr>
          <w:rFonts w:eastAsia="等线"/>
          <w:b/>
          <w:bCs/>
          <w:sz w:val="44"/>
          <w:szCs w:val="44"/>
          <w:lang w:val="zh-TW"/>
        </w:rPr>
      </w:pPr>
      <w:r>
        <w:rPr>
          <w:rFonts w:eastAsia="等线"/>
          <w:b/>
          <w:bCs/>
          <w:sz w:val="44"/>
          <w:szCs w:val="44"/>
          <w:lang w:val="zh-TW"/>
        </w:rPr>
        <w:t>申请人联系信息表</w:t>
      </w:r>
    </w:p>
    <w:p>
      <w:pPr>
        <w:snapToGrid w:val="0"/>
        <w:ind w:firstLine="880"/>
        <w:jc w:val="center"/>
        <w:rPr>
          <w:rFonts w:eastAsia="等线"/>
          <w:b/>
          <w:bCs/>
          <w:sz w:val="44"/>
          <w:szCs w:val="44"/>
          <w:lang w:val="zh-TW"/>
        </w:rPr>
      </w:pPr>
    </w:p>
    <w:tbl>
      <w:tblPr>
        <w:tblStyle w:val="6"/>
        <w:tblW w:w="8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68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1942" w:type="dxa"/>
            <w:noWrap w:val="0"/>
            <w:vAlign w:val="center"/>
          </w:tcPr>
          <w:p>
            <w:pPr>
              <w:jc w:val="center"/>
              <w:rPr>
                <w:rFonts w:eastAsia="等线"/>
                <w:sz w:val="22"/>
                <w:szCs w:val="22"/>
              </w:rPr>
            </w:pPr>
            <w:r>
              <w:rPr>
                <w:rFonts w:eastAsia="等线"/>
                <w:sz w:val="22"/>
                <w:szCs w:val="22"/>
              </w:rPr>
              <w:t>项目名称</w:t>
            </w:r>
          </w:p>
        </w:tc>
        <w:tc>
          <w:tcPr>
            <w:tcW w:w="6838" w:type="dxa"/>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Merge w:val="restart"/>
            <w:tcBorders>
              <w:right w:val="single" w:color="auto" w:sz="4" w:space="0"/>
            </w:tcBorders>
            <w:noWrap w:val="0"/>
            <w:vAlign w:val="center"/>
          </w:tcPr>
          <w:p>
            <w:pPr>
              <w:jc w:val="center"/>
              <w:rPr>
                <w:rFonts w:eastAsia="等线"/>
                <w:sz w:val="22"/>
                <w:szCs w:val="22"/>
              </w:rPr>
            </w:pPr>
            <w:r>
              <w:rPr>
                <w:rFonts w:eastAsia="等线"/>
                <w:sz w:val="22"/>
                <w:szCs w:val="22"/>
              </w:rPr>
              <w:t>投标人（申请人）</w:t>
            </w:r>
          </w:p>
          <w:p>
            <w:pPr>
              <w:jc w:val="center"/>
              <w:rPr>
                <w:rFonts w:eastAsia="等线"/>
                <w:sz w:val="22"/>
                <w:szCs w:val="22"/>
              </w:rPr>
            </w:pPr>
            <w:r>
              <w:rPr>
                <w:rFonts w:eastAsia="等线"/>
                <w:sz w:val="22"/>
                <w:szCs w:val="22"/>
              </w:rPr>
              <w:t>单位名称</w:t>
            </w:r>
          </w:p>
        </w:tc>
        <w:tc>
          <w:tcPr>
            <w:tcW w:w="6838" w:type="dxa"/>
            <w:tcBorders>
              <w:top w:val="single" w:color="auto" w:sz="6" w:space="0"/>
              <w:left w:val="single" w:color="auto" w:sz="4" w:space="0"/>
              <w:bottom w:val="nil"/>
            </w:tcBorders>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 w:hRule="atLeast"/>
          <w:jc w:val="center"/>
        </w:trPr>
        <w:tc>
          <w:tcPr>
            <w:tcW w:w="1942" w:type="dxa"/>
            <w:vMerge w:val="continue"/>
            <w:tcBorders>
              <w:right w:val="single" w:color="auto" w:sz="4" w:space="0"/>
            </w:tcBorders>
            <w:noWrap w:val="0"/>
            <w:vAlign w:val="center"/>
          </w:tcPr>
          <w:p>
            <w:pPr>
              <w:jc w:val="center"/>
              <w:rPr>
                <w:rFonts w:eastAsia="等线"/>
                <w:sz w:val="22"/>
                <w:szCs w:val="22"/>
              </w:rPr>
            </w:pPr>
          </w:p>
        </w:tc>
        <w:tc>
          <w:tcPr>
            <w:tcW w:w="6838" w:type="dxa"/>
            <w:tcBorders>
              <w:top w:val="nil"/>
              <w:left w:val="single" w:color="auto" w:sz="4" w:space="0"/>
              <w:bottom w:val="single" w:color="auto" w:sz="6" w:space="0"/>
            </w:tcBorders>
            <w:noWrap w:val="0"/>
            <w:vAlign w:val="center"/>
          </w:tcPr>
          <w:p>
            <w:pPr>
              <w:rPr>
                <w:rFonts w:eastAsia="等线"/>
                <w:sz w:val="20"/>
                <w:szCs w:val="20"/>
              </w:rPr>
            </w:pPr>
            <w:r>
              <w:rPr>
                <w:rFonts w:eastAsia="等线"/>
                <w:sz w:val="20"/>
                <w:szCs w:val="20"/>
              </w:rPr>
              <w:t>填写单位全称，应与营业执照或法人登记证或组织机构代码证或其他有效证明文件一致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1942" w:type="dxa"/>
            <w:tcBorders>
              <w:right w:val="single" w:color="auto" w:sz="4" w:space="0"/>
            </w:tcBorders>
            <w:noWrap w:val="0"/>
            <w:vAlign w:val="center"/>
          </w:tcPr>
          <w:p>
            <w:pPr>
              <w:jc w:val="center"/>
              <w:rPr>
                <w:rFonts w:hint="eastAsia" w:eastAsia="等线"/>
                <w:sz w:val="22"/>
                <w:szCs w:val="22"/>
                <w:lang w:eastAsia="zh-CN"/>
              </w:rPr>
            </w:pPr>
            <w:r>
              <w:rPr>
                <w:rFonts w:hint="eastAsia" w:eastAsia="等线"/>
                <w:sz w:val="22"/>
                <w:szCs w:val="22"/>
                <w:lang w:eastAsia="zh-CN"/>
              </w:rPr>
              <w:t>单位情况介绍</w:t>
            </w:r>
          </w:p>
        </w:tc>
        <w:tc>
          <w:tcPr>
            <w:tcW w:w="6838" w:type="dxa"/>
            <w:tcBorders>
              <w:top w:val="nil"/>
              <w:left w:val="single" w:color="auto" w:sz="4" w:space="0"/>
              <w:bottom w:val="single" w:color="auto" w:sz="6" w:space="0"/>
            </w:tcBorders>
            <w:noWrap w:val="0"/>
            <w:vAlign w:val="center"/>
          </w:tcPr>
          <w:p>
            <w:pPr>
              <w:rPr>
                <w:rFonts w:eastAsia="等线"/>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vMerge w:val="restart"/>
            <w:tcBorders>
              <w:right w:val="single" w:color="auto" w:sz="4" w:space="0"/>
            </w:tcBorders>
            <w:noWrap w:val="0"/>
            <w:vAlign w:val="center"/>
          </w:tcPr>
          <w:p>
            <w:pPr>
              <w:jc w:val="center"/>
              <w:rPr>
                <w:rFonts w:eastAsia="等线"/>
                <w:sz w:val="22"/>
                <w:szCs w:val="22"/>
              </w:rPr>
            </w:pPr>
            <w:r>
              <w:rPr>
                <w:rFonts w:eastAsia="等线"/>
                <w:sz w:val="22"/>
                <w:szCs w:val="22"/>
              </w:rPr>
              <w:t>项目联系人</w:t>
            </w:r>
          </w:p>
        </w:tc>
        <w:tc>
          <w:tcPr>
            <w:tcW w:w="6838" w:type="dxa"/>
            <w:tcBorders>
              <w:top w:val="single" w:color="auto" w:sz="6" w:space="0"/>
              <w:left w:val="single" w:color="auto" w:sz="4" w:space="0"/>
              <w:bottom w:val="nil"/>
            </w:tcBorders>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942" w:type="dxa"/>
            <w:vMerge w:val="continue"/>
            <w:tcBorders>
              <w:right w:val="single" w:color="auto" w:sz="4" w:space="0"/>
            </w:tcBorders>
            <w:noWrap w:val="0"/>
            <w:vAlign w:val="center"/>
          </w:tcPr>
          <w:p>
            <w:pPr>
              <w:jc w:val="center"/>
              <w:rPr>
                <w:rFonts w:eastAsia="等线"/>
                <w:sz w:val="22"/>
                <w:szCs w:val="22"/>
              </w:rPr>
            </w:pPr>
          </w:p>
        </w:tc>
        <w:tc>
          <w:tcPr>
            <w:tcW w:w="6838" w:type="dxa"/>
            <w:tcBorders>
              <w:top w:val="nil"/>
              <w:left w:val="single" w:color="auto" w:sz="4" w:space="0"/>
              <w:bottom w:val="single" w:color="auto" w:sz="6" w:space="0"/>
            </w:tcBorders>
            <w:noWrap w:val="0"/>
            <w:vAlign w:val="center"/>
          </w:tcPr>
          <w:p>
            <w:pPr>
              <w:rPr>
                <w:rFonts w:eastAsia="等线"/>
                <w:sz w:val="20"/>
                <w:szCs w:val="20"/>
              </w:rPr>
            </w:pPr>
            <w:r>
              <w:rPr>
                <w:rFonts w:eastAsia="等线"/>
                <w:sz w:val="20"/>
                <w:szCs w:val="20"/>
              </w:rPr>
              <w:t>填写本项目的项目经理或具体负责人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noWrap w:val="0"/>
            <w:vAlign w:val="center"/>
          </w:tcPr>
          <w:p>
            <w:pPr>
              <w:jc w:val="center"/>
              <w:rPr>
                <w:rFonts w:eastAsia="等线"/>
                <w:sz w:val="22"/>
                <w:szCs w:val="22"/>
              </w:rPr>
            </w:pPr>
            <w:r>
              <w:rPr>
                <w:rFonts w:eastAsia="等线"/>
                <w:sz w:val="22"/>
                <w:szCs w:val="22"/>
              </w:rPr>
              <w:t>移动电话</w:t>
            </w:r>
          </w:p>
        </w:tc>
        <w:tc>
          <w:tcPr>
            <w:tcW w:w="6838" w:type="dxa"/>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noWrap w:val="0"/>
            <w:vAlign w:val="center"/>
          </w:tcPr>
          <w:p>
            <w:pPr>
              <w:jc w:val="center"/>
              <w:rPr>
                <w:rFonts w:eastAsia="等线"/>
                <w:sz w:val="22"/>
                <w:szCs w:val="22"/>
              </w:rPr>
            </w:pPr>
            <w:r>
              <w:rPr>
                <w:rFonts w:eastAsia="等线"/>
                <w:sz w:val="22"/>
                <w:szCs w:val="22"/>
              </w:rPr>
              <w:t>电子邮箱</w:t>
            </w:r>
          </w:p>
        </w:tc>
        <w:tc>
          <w:tcPr>
            <w:tcW w:w="6838" w:type="dxa"/>
            <w:noWrap w:val="0"/>
            <w:vAlign w:val="center"/>
          </w:tcPr>
          <w:p>
            <w:pPr>
              <w:rPr>
                <w:rFonts w:eastAsia="等线"/>
                <w:sz w:val="22"/>
                <w:szCs w:val="22"/>
              </w:rPr>
            </w:pPr>
          </w:p>
        </w:tc>
      </w:tr>
    </w:tbl>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b/>
          <w:bCs/>
          <w:color w:val="000000"/>
          <w:u w:val="none"/>
        </w:rPr>
      </w:pPr>
      <w:r>
        <w:rPr>
          <w:rFonts w:hint="eastAsia"/>
          <w:b/>
          <w:bCs/>
          <w:u w:val="none"/>
          <w:lang w:val="en-US" w:eastAsia="zh-CN"/>
        </w:rPr>
        <w:t>二、</w:t>
      </w:r>
      <w:r>
        <w:rPr>
          <w:rFonts w:ascii="Times New Roman"/>
          <w:b/>
          <w:bCs/>
          <w:u w:val="none"/>
        </w:rPr>
        <w:t xml:space="preserve"> 供应商营业执照</w:t>
      </w:r>
    </w:p>
    <w:p>
      <w:pPr>
        <w:tabs>
          <w:tab w:val="left" w:pos="540"/>
          <w:tab w:val="left" w:pos="567"/>
          <w:tab w:val="left" w:pos="6045"/>
        </w:tabs>
        <w:spacing w:line="360" w:lineRule="auto"/>
        <w:ind w:left="424" w:leftChars="202" w:firstLine="52" w:firstLineChars="22"/>
        <w:contextualSpacing/>
        <w:rPr>
          <w:kern w:val="44"/>
          <w:sz w:val="24"/>
        </w:rPr>
      </w:pPr>
    </w:p>
    <w:p>
      <w:pPr>
        <w:keepNext w:val="0"/>
        <w:keepLines w:val="0"/>
        <w:pageBreakBefore w:val="0"/>
        <w:widowControl w:val="0"/>
        <w:tabs>
          <w:tab w:val="left" w:pos="540"/>
          <w:tab w:val="left" w:pos="567"/>
          <w:tab w:val="left" w:pos="6045"/>
        </w:tabs>
        <w:kinsoku/>
        <w:wordWrap/>
        <w:overflowPunct/>
        <w:topLinePunct w:val="0"/>
        <w:autoSpaceDE/>
        <w:autoSpaceDN/>
        <w:bidi w:val="0"/>
        <w:adjustRightInd/>
        <w:snapToGrid/>
        <w:spacing w:line="360" w:lineRule="auto"/>
        <w:ind w:left="0" w:leftChars="0" w:firstLine="480" w:firstLineChars="200"/>
        <w:contextualSpacing/>
        <w:textAlignment w:val="auto"/>
        <w:rPr>
          <w:kern w:val="44"/>
          <w:sz w:val="24"/>
        </w:rPr>
      </w:pPr>
      <w:r>
        <w:rPr>
          <w:kern w:val="44"/>
          <w:sz w:val="24"/>
        </w:rPr>
        <w:t>供应商如为企业法人，须提供企业法人营业执照；供应商如为事业单位或其他组织，须提供事业单位法人证书或登记证或组织机构代码证或其他有效证明文件。</w:t>
      </w:r>
    </w:p>
    <w:p>
      <w:pPr>
        <w:widowControl/>
        <w:jc w:val="left"/>
        <w:rPr>
          <w:kern w:val="44"/>
        </w:rPr>
        <w:sectPr>
          <w:footerReference r:id="rId3" w:type="default"/>
          <w:pgSz w:w="11907" w:h="16840"/>
          <w:pgMar w:top="1418" w:right="1134" w:bottom="1418" w:left="1701" w:header="851" w:footer="851" w:gutter="0"/>
          <w:cols w:space="720" w:num="1"/>
          <w:docGrid w:linePitch="462" w:charSpace="0"/>
        </w:sectPr>
      </w:pPr>
    </w:p>
    <w:p>
      <w:pPr>
        <w:widowControl/>
        <w:jc w:val="left"/>
        <w:rPr>
          <w:rFonts w:ascii="Times New Roman"/>
          <w:b w:val="0"/>
          <w:bCs/>
          <w:color w:val="000000"/>
          <w:u w:val="none"/>
        </w:rPr>
      </w:pPr>
      <w:bookmarkStart w:id="1" w:name="_Toc514346852"/>
      <w:r>
        <w:rPr>
          <w:rFonts w:hint="eastAsia"/>
          <w:b/>
          <w:bCs/>
          <w:u w:val="none"/>
          <w:lang w:val="en-US" w:eastAsia="zh-CN"/>
        </w:rPr>
        <w:t>三、</w:t>
      </w:r>
      <w:r>
        <w:rPr>
          <w:rFonts w:ascii="Times New Roman"/>
          <w:b/>
          <w:bCs/>
          <w:u w:val="none"/>
        </w:rPr>
        <w:t xml:space="preserve"> </w:t>
      </w:r>
      <w:r>
        <w:rPr>
          <w:rFonts w:ascii="Times New Roman"/>
          <w:b/>
          <w:bCs/>
          <w:color w:val="000000"/>
          <w:u w:val="none"/>
        </w:rPr>
        <w:t>报价表</w:t>
      </w:r>
      <w:bookmarkEnd w:id="1"/>
    </w:p>
    <w:p/>
    <w:p>
      <w:pPr>
        <w:pStyle w:val="4"/>
        <w:spacing w:line="360" w:lineRule="auto"/>
        <w:jc w:val="center"/>
        <w:rPr>
          <w:rFonts w:ascii="Times New Roman" w:hAnsi="Times New Roman"/>
          <w:color w:val="000000"/>
          <w:sz w:val="36"/>
        </w:rPr>
      </w:pPr>
      <w:bookmarkStart w:id="2" w:name="_Hlt182802782"/>
      <w:r>
        <w:rPr>
          <w:rFonts w:ascii="Times New Roman" w:hAnsi="Times New Roman"/>
          <w:color w:val="000000"/>
          <w:sz w:val="36"/>
        </w:rPr>
        <w:t>报价表</w:t>
      </w:r>
    </w:p>
    <w:bookmarkEnd w:id="2"/>
    <w:p>
      <w:pPr>
        <w:tabs>
          <w:tab w:val="left" w:pos="1800"/>
          <w:tab w:val="left" w:pos="5580"/>
        </w:tabs>
        <w:spacing w:line="360" w:lineRule="auto"/>
        <w:ind w:firstLine="360" w:firstLineChars="150"/>
        <w:jc w:val="left"/>
        <w:rPr>
          <w:color w:val="000000"/>
          <w:sz w:val="24"/>
          <w:u w:val="single"/>
        </w:rPr>
      </w:pPr>
      <w:r>
        <w:rPr>
          <w:color w:val="000000"/>
          <w:sz w:val="24"/>
        </w:rPr>
        <w:t>项目名称：</w:t>
      </w:r>
      <w:r>
        <w:rPr>
          <w:color w:val="000000"/>
          <w:sz w:val="24"/>
          <w:u w:val="single"/>
        </w:rPr>
        <w:t xml:space="preserve">                       </w:t>
      </w:r>
    </w:p>
    <w:tbl>
      <w:tblPr>
        <w:tblStyle w:val="6"/>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2160"/>
        <w:gridCol w:w="2430"/>
        <w:gridCol w:w="4170"/>
        <w:gridCol w:w="945"/>
        <w:gridCol w:w="1020"/>
        <w:gridCol w:w="90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供应商名称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装备名称</w:t>
            </w:r>
          </w:p>
        </w:tc>
        <w:tc>
          <w:tcPr>
            <w:tcW w:w="41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技术要求</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报价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总金额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气密阻燃化学防护服</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用于化学品泄露和爆燃环境下的安全防护。</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1.符合GB 24540标准要求；</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2.防护等级：全封闭A级防护服；</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3.克重：小于300g/㎡;</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4.厚度：大于0.8mm；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5.面罩结构：大于2层；</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6.穿入方式：正面；</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7.连体手套：符合化学防护和机械防护要求；</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8.排气阀：大于1个，阀门采用单向正压阀；</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9.可容纳自携式空气呼吸器（SCBA）。</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气密性防化服</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用于化学危险品处理，化学事故应急救援处置。</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1.符合GB 24540标准要求；</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2.防护等级：全封闭A级防护服；</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3.可燃等级标准：1级；</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4.防护性能：丙酮、乙腈、甲醇、硝基苯、甲苯等化学品防护时长大于3小时；</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5.克重：小于450g/㎡;</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6.厚度：大于0.6mm；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7.排气阀：大于1个，阀门采用单向正压阀；</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8.可容纳自携式空气呼吸器（SCBA）。</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正压式空气呼吸器</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1.符合GA124《正压式消防空气呼吸器》要求；</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2.面罩：具有大视野面窗，透明度高、耐磨性强、具有防雾功能，网状头罩式佩戴方式，符合气密性要求；</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3.快速接头：可单手操作、有锁紧防脱功能；</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4.瓶头阀：具有高压安全装置，开启力矩小。</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5.压力表：具有夜视功能；</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6.气瓶：容量6.8L，工作时长大于40min，工作压力30MPa，爆破压力大于80MPa。</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AED除颤仪</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1.符合GB9706.204-2022标准要求；</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2.含电池重量：小于2KG，携带性高；</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3.防尘防水系数：IP55；</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4.具备充电完成的声光提示和明确的语音及图形提示；</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5.电池：支持至少 200次电击治疗；</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6.具备完备的自检功能。</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7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21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可视化调度终端</w:t>
            </w:r>
          </w:p>
        </w:tc>
        <w:tc>
          <w:tcPr>
            <w:tcW w:w="41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1.屏幕尺寸：130英寸；</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2.比例：21：9和32：9宽屏；</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3.边框：小于等于5mm；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4.屏幕占比：大于95%；</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5.亮度：450cd/㎡；</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6.触摸屏类型：红外触摸；</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7.信号输入：支持双信号源接入，支持电脑、手机、平板投屏。</w:t>
            </w:r>
          </w:p>
        </w:tc>
        <w:tc>
          <w:tcPr>
            <w:tcW w:w="9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785"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21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接地电阻测试仪</w:t>
            </w:r>
          </w:p>
        </w:tc>
        <w:tc>
          <w:tcPr>
            <w:tcW w:w="41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1.测量范围：0～20kΩ；</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2.分辨率：0.01Ω/0.1Ω/1Ω；</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 xml:space="preserve">3.测量频率：125Hz/150Hz/正弦波；                                                       </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4.电源：5号电池</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5.精度：0.1Ω</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6.重复误差：±3%rdg</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7.尺 寸：110*165*70mm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8.取得相应防爆等级认证。</w:t>
            </w:r>
          </w:p>
        </w:tc>
        <w:tc>
          <w:tcPr>
            <w:tcW w:w="94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4</w:t>
            </w:r>
          </w:p>
        </w:tc>
        <w:tc>
          <w:tcPr>
            <w:tcW w:w="102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7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21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四合一气体检测仪</w:t>
            </w:r>
          </w:p>
        </w:tc>
        <w:tc>
          <w:tcPr>
            <w:tcW w:w="41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1可检测一氧化碳、硫化氢、甲烷等气体；</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2取得相应防爆等级认证；</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3.量程：一氧化碳0-1000ppm，硫化氢0-500ppm，甲烷0-100%LEL，氧气0-30%Vol ；</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4.分辨率：一氧化碳1ppm，硫化氢0.1ppm，甲烷0.01%Vol，氧气0.1%Vol；</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 xml:space="preserve">5.精度：一氧化碳1、硫化氢、甲烷 </w:t>
            </w:r>
            <w:r>
              <w:rPr>
                <w:rStyle w:val="9"/>
                <w:lang w:val="en-US" w:eastAsia="zh-CN" w:bidi="ar"/>
              </w:rPr>
              <w:t>+</w:t>
            </w:r>
            <w:r>
              <w:rPr>
                <w:rFonts w:hint="default" w:ascii="方正仿宋_GB2312" w:hAnsi="方正仿宋_GB2312" w:eastAsia="方正仿宋_GB2312" w:cs="方正仿宋_GB2312"/>
                <w:i w:val="0"/>
                <w:color w:val="000000"/>
                <w:kern w:val="0"/>
                <w:sz w:val="20"/>
                <w:szCs w:val="20"/>
                <w:u w:val="none"/>
                <w:lang w:val="en-US" w:eastAsia="zh-CN" w:bidi="ar"/>
              </w:rPr>
              <w:t>5%，氧气</w:t>
            </w:r>
            <w:r>
              <w:rPr>
                <w:rStyle w:val="9"/>
                <w:lang w:val="en-US" w:eastAsia="zh-CN" w:bidi="ar"/>
              </w:rPr>
              <w:t>+</w:t>
            </w:r>
            <w:r>
              <w:rPr>
                <w:rFonts w:hint="default" w:ascii="方正仿宋_GB2312" w:hAnsi="方正仿宋_GB2312" w:eastAsia="方正仿宋_GB2312" w:cs="方正仿宋_GB2312"/>
                <w:i w:val="0"/>
                <w:color w:val="000000"/>
                <w:kern w:val="0"/>
                <w:sz w:val="20"/>
                <w:szCs w:val="20"/>
                <w:u w:val="none"/>
                <w:lang w:val="en-US" w:eastAsia="zh-CN" w:bidi="ar"/>
              </w:rPr>
              <w:t>1%；</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6.电池：可充电，一般可使用10小时；</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7.操作温度：-20*C至+50*C；</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8.工作湿度：15%</w:t>
            </w:r>
            <w:r>
              <w:rPr>
                <w:rFonts w:ascii="DejaVu Sans" w:hAnsi="DejaVu Sans" w:eastAsia="DejaVu Sans" w:cs="DejaVu Sans"/>
                <w:i w:val="0"/>
                <w:color w:val="000000"/>
                <w:kern w:val="0"/>
                <w:sz w:val="20"/>
                <w:szCs w:val="20"/>
                <w:u w:val="none"/>
                <w:lang w:val="en-US" w:eastAsia="zh-CN" w:bidi="ar"/>
              </w:rPr>
              <w:t>-</w:t>
            </w:r>
            <w:r>
              <w:rPr>
                <w:rFonts w:hint="default" w:ascii="方正仿宋_GB2312" w:hAnsi="方正仿宋_GB2312" w:eastAsia="方正仿宋_GB2312" w:cs="方正仿宋_GB2312"/>
                <w:i w:val="0"/>
                <w:color w:val="000000"/>
                <w:kern w:val="0"/>
                <w:sz w:val="20"/>
                <w:szCs w:val="20"/>
                <w:u w:val="none"/>
                <w:lang w:val="en-US" w:eastAsia="zh-CN" w:bidi="ar"/>
              </w:rPr>
              <w:t>90%</w:t>
            </w:r>
            <w:r>
              <w:rPr>
                <w:rFonts w:ascii="DejaVu Sans" w:hAnsi="DejaVu Sans" w:eastAsia="DejaVu Sans" w:cs="DejaVu Sans"/>
                <w:i w:val="0"/>
                <w:color w:val="000000"/>
                <w:kern w:val="0"/>
                <w:sz w:val="20"/>
                <w:szCs w:val="20"/>
                <w:u w:val="none"/>
                <w:lang w:val="en-US" w:eastAsia="zh-CN" w:bidi="ar"/>
              </w:rPr>
              <w:t xml:space="preserve"> </w:t>
            </w:r>
            <w:r>
              <w:rPr>
                <w:rFonts w:hint="default" w:ascii="方正仿宋_GB2312" w:hAnsi="方正仿宋_GB2312" w:eastAsia="方正仿宋_GB2312" w:cs="方正仿宋_GB2312"/>
                <w:i w:val="0"/>
                <w:color w:val="000000"/>
                <w:kern w:val="0"/>
                <w:sz w:val="20"/>
                <w:szCs w:val="20"/>
                <w:u w:val="none"/>
                <w:lang w:val="en-US" w:eastAsia="zh-CN" w:bidi="ar"/>
              </w:rPr>
              <w:t>RH。</w:t>
            </w:r>
          </w:p>
        </w:tc>
        <w:tc>
          <w:tcPr>
            <w:tcW w:w="9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4</w:t>
            </w:r>
          </w:p>
        </w:tc>
        <w:tc>
          <w:tcPr>
            <w:tcW w:w="1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21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雨衣</w:t>
            </w:r>
          </w:p>
        </w:tc>
        <w:tc>
          <w:tcPr>
            <w:tcW w:w="41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1.防水性能：达到8000mm防水等级；</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2.透气性能：达到5000g/㎡-24h透气等级；</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3.其他要求：双层结构，袖口和口袋进行防水设计，具有防紫外线、防静电、防燃烧、耐化学性性能，提供多种尺码选择。</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雨鞋</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1具有防水性、防砸、防刺和电绝缘性能；</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2.鞋底防滑功能。</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雨伞</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1.类型:直杆雨伞；</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2.骨架数量：16骨；</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3.伞架材质：玻璃纤维；</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4.伞面具有防水涂层。</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手提式照明设备</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1.重量：小于1000g；</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2.配用光源：LED；</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3.功率：9/3W；</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4.连续工作时间：大于6小时；</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5.取得相应防爆等级认证。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多合一充电及数据传输线</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1.包含Type-C、安卓Micro-USB和苹果Lighting接头；</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2.功率：大于等于100W；</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3.支持主流品牌手机快充。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应急标识服</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1可正反穿着背心；</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2.后背印“应急管理”字样；</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3.可根据需求定制颜色。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战术快拔手电套</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1.重量：小于150克；</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2.适配腰带宽度：小于60mm；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3.适配手电筒身直径：25-32mm。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充电宝及转换接头</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1.符合GB/T 35590标准要求；</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2.容量：24000mAh；</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3.功率：双向140W；</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4.支持设备：华为、苹果、小米等多品牌。</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双肩包</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1.材质：600D高强尼龙；</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2.包体正、侧、底、内部均有挂载装置；</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3.主仓有内隔袋、隔层。</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望远镜</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1.倍率：15倍；</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2.物镜直径：56mm；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3.出瞳直径：3.8mm；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4.千米处视野范围：76m；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5.防护等级：IPX-7级防水，充氮防雾。</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rPr>
      </w:pPr>
    </w:p>
    <w:p>
      <w:pPr>
        <w:spacing w:line="360" w:lineRule="auto"/>
        <w:rPr>
          <w:b/>
          <w:color w:val="000000"/>
          <w:kern w:val="0"/>
          <w:sz w:val="24"/>
        </w:rPr>
      </w:pPr>
    </w:p>
    <w:p>
      <w:pPr>
        <w:pStyle w:val="4"/>
        <w:tabs>
          <w:tab w:val="left" w:pos="5580"/>
        </w:tabs>
        <w:spacing w:line="360" w:lineRule="auto"/>
        <w:ind w:left="680" w:hanging="680"/>
        <w:rPr>
          <w:rFonts w:ascii="Times New Roman" w:hAnsi="Times New Roman"/>
          <w:color w:val="000000"/>
          <w:sz w:val="24"/>
          <w:u w:val="single"/>
        </w:rPr>
      </w:pPr>
      <w:r>
        <w:rPr>
          <w:rFonts w:ascii="Times New Roman" w:hAnsi="Times New Roman"/>
          <w:color w:val="000000"/>
          <w:sz w:val="24"/>
        </w:rPr>
        <w:t>供应商名称（盖章）：</w:t>
      </w:r>
      <w:r>
        <w:rPr>
          <w:rFonts w:ascii="Times New Roman" w:hAnsi="Times New Roman"/>
          <w:color w:val="000000"/>
          <w:sz w:val="24"/>
          <w:u w:val="single"/>
        </w:rPr>
        <w:t xml:space="preserve">                       </w:t>
      </w:r>
    </w:p>
    <w:p>
      <w:pPr>
        <w:widowControl/>
        <w:jc w:val="left"/>
        <w:rPr>
          <w:kern w:val="44"/>
          <w:sz w:val="24"/>
        </w:rPr>
      </w:pPr>
      <w:bookmarkStart w:id="3" w:name="_Hlk96450229"/>
      <w:r>
        <w:rPr>
          <w:kern w:val="44"/>
          <w:sz w:val="24"/>
        </w:rPr>
        <w:t>注：供应商报价超过采购预算</w:t>
      </w:r>
      <w:r>
        <w:rPr>
          <w:rFonts w:hint="eastAsia"/>
          <w:kern w:val="44"/>
          <w:sz w:val="24"/>
          <w:lang w:val="en-US" w:eastAsia="zh-CN"/>
        </w:rPr>
        <w:t>金额的</w:t>
      </w:r>
      <w:r>
        <w:rPr>
          <w:kern w:val="44"/>
          <w:sz w:val="24"/>
        </w:rPr>
        <w:t>，</w:t>
      </w:r>
      <w:r>
        <w:rPr>
          <w:rFonts w:hint="eastAsia"/>
          <w:kern w:val="44"/>
          <w:sz w:val="24"/>
          <w:lang w:val="en-US" w:eastAsia="zh-CN"/>
        </w:rPr>
        <w:t>视为未实质性响应，按无效处理</w:t>
      </w:r>
      <w:r>
        <w:rPr>
          <w:kern w:val="44"/>
          <w:sz w:val="24"/>
        </w:rPr>
        <w:t>。</w:t>
      </w:r>
    </w:p>
    <w:bookmarkEnd w:id="3"/>
    <w:p>
      <w:pPr>
        <w:widowControl/>
        <w:jc w:val="left"/>
        <w:sectPr>
          <w:pgSz w:w="16840" w:h="11907" w:orient="landscape"/>
          <w:pgMar w:top="1701" w:right="1418" w:bottom="1134" w:left="1418" w:header="851" w:footer="851" w:gutter="0"/>
          <w:cols w:space="720" w:num="1"/>
          <w:docGrid w:linePitch="462" w:charSpace="0"/>
        </w:sectPr>
      </w:pPr>
      <w:r>
        <w:br w:type="page"/>
      </w:r>
    </w:p>
    <w:p>
      <w:pPr>
        <w:pStyle w:val="2"/>
        <w:rPr>
          <w:rFonts w:ascii="Times New Roman"/>
          <w:bCs/>
        </w:rPr>
      </w:pPr>
      <w:r>
        <w:rPr>
          <w:rFonts w:hint="eastAsia" w:ascii="Times New Roman"/>
          <w:u w:val="none"/>
          <w:lang w:val="en-US" w:eastAsia="zh-CN"/>
        </w:rPr>
        <w:t>四、</w:t>
      </w:r>
      <w:r>
        <w:rPr>
          <w:rFonts w:ascii="Times New Roman"/>
          <w:u w:val="none"/>
        </w:rPr>
        <w:t xml:space="preserve"> </w:t>
      </w:r>
      <w:bookmarkStart w:id="4" w:name="_Toc462648607"/>
      <w:bookmarkStart w:id="5" w:name="_Toc489339736"/>
      <w:bookmarkStart w:id="6" w:name="_Toc489358166"/>
      <w:bookmarkStart w:id="7" w:name="_Toc462673268"/>
      <w:bookmarkStart w:id="8" w:name="_Toc532585172"/>
      <w:r>
        <w:rPr>
          <w:rFonts w:ascii="Times New Roman"/>
          <w:u w:val="none"/>
        </w:rPr>
        <w:t>供应商声明函</w:t>
      </w:r>
      <w:bookmarkEnd w:id="4"/>
      <w:bookmarkEnd w:id="5"/>
      <w:bookmarkEnd w:id="6"/>
      <w:bookmarkEnd w:id="7"/>
      <w:bookmarkEnd w:id="8"/>
    </w:p>
    <w:p>
      <w:pPr>
        <w:spacing w:line="360" w:lineRule="auto"/>
        <w:rPr>
          <w:rFonts w:eastAsia="宋体"/>
          <w:sz w:val="24"/>
        </w:rPr>
      </w:pPr>
      <w:r>
        <w:rPr>
          <w:sz w:val="24"/>
        </w:rPr>
        <w:t>致：</w:t>
      </w:r>
      <w:r>
        <w:rPr>
          <w:rFonts w:hint="eastAsia"/>
          <w:sz w:val="24"/>
          <w:lang w:eastAsia="zh-CN"/>
        </w:rPr>
        <w:t>上海市应急管理局</w:t>
      </w:r>
      <w:bookmarkStart w:id="10" w:name="_GoBack"/>
      <w:bookmarkEnd w:id="10"/>
      <w:r>
        <w:rPr>
          <w:rFonts w:eastAsia="宋体"/>
          <w:sz w:val="24"/>
        </w:rPr>
        <w:t>：</w:t>
      </w:r>
    </w:p>
    <w:p>
      <w:pPr>
        <w:spacing w:line="360" w:lineRule="auto"/>
        <w:ind w:firstLine="480" w:firstLineChars="200"/>
        <w:rPr>
          <w:sz w:val="24"/>
        </w:rPr>
      </w:pPr>
      <w:r>
        <w:rPr>
          <w:sz w:val="24"/>
        </w:rPr>
        <w:t>在参与本次项目采购中，我单位承诺：</w:t>
      </w:r>
    </w:p>
    <w:p>
      <w:pPr>
        <w:spacing w:line="360" w:lineRule="auto"/>
        <w:ind w:firstLine="480" w:firstLineChars="200"/>
        <w:rPr>
          <w:sz w:val="24"/>
        </w:rPr>
      </w:pPr>
      <w:r>
        <w:rPr>
          <w:sz w:val="24"/>
        </w:rPr>
        <w:t>1、我单位符合《中华人民共和国政府采购法》第二十二条及《中华人民共和国政府采购法实施条例》第十八条的相关规定，未被列入失信被执行人、重大税收违法案件当事人名单、政府采购严重违法失信行为记录名单。</w:t>
      </w:r>
    </w:p>
    <w:p>
      <w:pPr>
        <w:spacing w:line="360" w:lineRule="auto"/>
        <w:ind w:firstLine="480" w:firstLineChars="200"/>
        <w:rPr>
          <w:sz w:val="24"/>
        </w:rPr>
      </w:pPr>
      <w:r>
        <w:rPr>
          <w:sz w:val="24"/>
        </w:rPr>
        <w:t>若采购单位在本项目采购过程中发现我单位不符合《中华人民共和国政府采购法》第二十二条及《中华人民共和国政府采购法实施条例》第十八条的相关规定，或者被列入失信被执行人、重大税收违法案件当事人名单、政府采购严重违法失信行为记录名单等情况，我单位将无条件地退出本项目的响应，并承担因此引起的一切后果。</w:t>
      </w:r>
    </w:p>
    <w:p>
      <w:pPr>
        <w:spacing w:line="360" w:lineRule="auto"/>
        <w:ind w:firstLine="480" w:firstLineChars="200"/>
        <w:rPr>
          <w:sz w:val="24"/>
        </w:rPr>
      </w:pPr>
      <w:r>
        <w:rPr>
          <w:sz w:val="24"/>
        </w:rPr>
        <w:t>2、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sz w:val="24"/>
        </w:rPr>
      </w:pPr>
      <w:r>
        <w:rPr>
          <w:sz w:val="24"/>
        </w:rPr>
        <w:t>若采购人或采购代理机构在本项目采购过程中发现我单位存在违反上述承诺的事项，我单位将自动失去在本项目的成交资格，并承担因此引起的一切后果及虚假响应责任。</w:t>
      </w:r>
    </w:p>
    <w:p>
      <w:pPr>
        <w:spacing w:line="360" w:lineRule="auto"/>
        <w:ind w:firstLine="480" w:firstLineChars="200"/>
        <w:rPr>
          <w:sz w:val="24"/>
        </w:rPr>
      </w:pPr>
      <w:r>
        <w:rPr>
          <w:sz w:val="24"/>
        </w:rPr>
        <w:t>供应商名称（加盖公章）：_______________________</w:t>
      </w:r>
    </w:p>
    <w:p>
      <w:pPr>
        <w:tabs>
          <w:tab w:val="left" w:pos="540"/>
          <w:tab w:val="left" w:pos="567"/>
          <w:tab w:val="left" w:pos="6045"/>
        </w:tabs>
        <w:spacing w:line="360" w:lineRule="auto"/>
        <w:ind w:firstLine="480" w:firstLineChars="200"/>
        <w:contextualSpacing/>
        <w:rPr>
          <w:kern w:val="44"/>
          <w:sz w:val="24"/>
        </w:rPr>
      </w:pPr>
      <w:r>
        <w:rPr>
          <w:sz w:val="24"/>
        </w:rPr>
        <w:t>（注：供应商客观情况如与上述内容不一致，请如实列出。一旦发现供应商提供的声明函不实，</w:t>
      </w:r>
      <w:bookmarkStart w:id="9" w:name="_Hlk96450270"/>
      <w:r>
        <w:rPr>
          <w:sz w:val="24"/>
        </w:rPr>
        <w:t>其响应将</w:t>
      </w:r>
      <w:bookmarkEnd w:id="9"/>
      <w:r>
        <w:rPr>
          <w:rFonts w:hint="eastAsia"/>
          <w:sz w:val="24"/>
          <w:lang w:val="en-US" w:eastAsia="zh-CN"/>
        </w:rPr>
        <w:t>按无效处理</w:t>
      </w:r>
      <w:r>
        <w:rPr>
          <w:sz w:val="24"/>
        </w:rPr>
        <w:t>。）</w:t>
      </w:r>
    </w:p>
    <w:p>
      <w:pPr>
        <w:tabs>
          <w:tab w:val="left" w:pos="540"/>
          <w:tab w:val="left" w:pos="567"/>
          <w:tab w:val="left" w:pos="6045"/>
        </w:tabs>
        <w:spacing w:line="360" w:lineRule="auto"/>
        <w:ind w:firstLine="480" w:firstLineChars="200"/>
        <w:contextualSpacing/>
        <w:rPr>
          <w:kern w:val="44"/>
          <w:sz w:val="24"/>
        </w:rPr>
      </w:pPr>
      <w:r>
        <w:rPr>
          <w:kern w:val="44"/>
          <w:sz w:val="24"/>
        </w:rPr>
        <w:t> </w:t>
      </w:r>
    </w:p>
    <w:p>
      <w:pPr>
        <w:widowControl/>
        <w:jc w:val="left"/>
        <w:rPr>
          <w:kern w:val="44"/>
          <w:sz w:val="24"/>
        </w:rPr>
      </w:pPr>
      <w:r>
        <w:rPr>
          <w:kern w:val="44"/>
          <w:sz w:val="24"/>
        </w:rPr>
        <w:br w:type="page"/>
      </w:r>
    </w:p>
    <w:p>
      <w:pPr>
        <w:spacing w:line="360" w:lineRule="auto"/>
        <w:ind w:firstLine="0" w:firstLineChars="0"/>
        <w:jc w:val="left"/>
        <w:rPr>
          <w:rFonts w:ascii="Times New Roman"/>
          <w:kern w:val="44"/>
          <w:szCs w:val="24"/>
        </w:rPr>
      </w:pPr>
      <w:r>
        <w:rPr>
          <w:rFonts w:hint="eastAsia" w:cs="Times New Roman"/>
          <w:b/>
          <w:kern w:val="0"/>
          <w:sz w:val="24"/>
          <w:szCs w:val="20"/>
          <w:u w:val="none"/>
          <w:lang w:val="en-US" w:eastAsia="zh-CN" w:bidi="ar-SA"/>
        </w:rPr>
        <w:t>五、</w:t>
      </w:r>
      <w:r>
        <w:rPr>
          <w:rFonts w:ascii="Times New Roman" w:hAnsi="Times New Roman" w:eastAsia="宋体" w:cs="Times New Roman"/>
          <w:b/>
          <w:kern w:val="0"/>
          <w:sz w:val="24"/>
          <w:szCs w:val="20"/>
          <w:u w:val="none"/>
          <w:lang w:val="en-US" w:eastAsia="zh-CN" w:bidi="ar-SA"/>
        </w:rPr>
        <w:t>供应商认为需要提供的其他材料（如有）</w:t>
      </w:r>
    </w:p>
    <w:p>
      <w:pPr>
        <w:tabs>
          <w:tab w:val="left" w:pos="540"/>
          <w:tab w:val="left" w:pos="567"/>
          <w:tab w:val="left" w:pos="6045"/>
        </w:tabs>
        <w:spacing w:line="360" w:lineRule="auto"/>
        <w:ind w:firstLine="420" w:firstLineChars="200"/>
        <w:contextualSpacing/>
        <w:rPr>
          <w:kern w:val="44"/>
        </w:rPr>
      </w:pPr>
    </w:p>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0000000000000000000"/>
    <w:charset w:val="00"/>
    <w:family w:val="auto"/>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方正楷体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Style w:val="8"/>
      </w:rPr>
      <w:fldChar w:fldCharType="begin"/>
    </w:r>
    <w:r>
      <w:rPr>
        <w:rStyle w:val="8"/>
      </w:rPr>
      <w:instrText xml:space="preserve"> PAGE </w:instrText>
    </w:r>
    <w:r>
      <w:rPr>
        <w:rStyle w:val="8"/>
      </w:rPr>
      <w:fldChar w:fldCharType="separate"/>
    </w:r>
    <w:r>
      <w:rPr>
        <w:rStyle w:val="8"/>
      </w:rPr>
      <w:t>6</w:t>
    </w:r>
    <w:r>
      <w:rPr>
        <w:rStyle w:val="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ZTBlM2U2ZmE3YmQ3NWNjNDhiNDEwOTRiNmYwYTEifQ=="/>
  </w:docVars>
  <w:rsids>
    <w:rsidRoot w:val="7BBAA12C"/>
    <w:rsid w:val="20E40573"/>
    <w:rsid w:val="2B536E55"/>
    <w:rsid w:val="307E2F3A"/>
    <w:rsid w:val="3CD66811"/>
    <w:rsid w:val="49D619E3"/>
    <w:rsid w:val="63411D2B"/>
    <w:rsid w:val="75C438A8"/>
    <w:rsid w:val="76FF0076"/>
    <w:rsid w:val="78EF7DE9"/>
    <w:rsid w:val="7BBAA12C"/>
    <w:rsid w:val="7D873274"/>
    <w:rsid w:val="7FFF5E93"/>
    <w:rsid w:val="D3F2B210"/>
    <w:rsid w:val="D7769489"/>
    <w:rsid w:val="DB9EC996"/>
    <w:rsid w:val="DD16BED7"/>
    <w:rsid w:val="EFBB8770"/>
    <w:rsid w:val="F7FC6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Plain Text"/>
    <w:basedOn w:val="1"/>
    <w:qFormat/>
    <w:uiPriority w:val="99"/>
    <w:rPr>
      <w:rFonts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8">
    <w:name w:val="page number"/>
    <w:basedOn w:val="7"/>
    <w:qFormat/>
    <w:uiPriority w:val="0"/>
  </w:style>
  <w:style w:type="character" w:customStyle="1" w:styleId="9">
    <w:name w:val="font21"/>
    <w:basedOn w:val="7"/>
    <w:qFormat/>
    <w:uiPriority w:val="0"/>
    <w:rPr>
      <w:rFonts w:hint="default" w:ascii="方正仿宋_GB2312" w:hAnsi="方正仿宋_GB2312" w:eastAsia="方正仿宋_GB2312" w:cs="方正仿宋_GB2312"/>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1656</Words>
  <Characters>1678</Characters>
  <Lines>0</Lines>
  <Paragraphs>0</Paragraphs>
  <TotalTime>6</TotalTime>
  <ScaleCrop>false</ScaleCrop>
  <LinksUpToDate>false</LinksUpToDate>
  <CharactersWithSpaces>1841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2023-03-02T11:01:00Z</dcterms:created>
  <dc:creator>uos</dc:creator>
  <cp:lastModifiedBy>user</cp:lastModifiedBy>
  <dcterms:modified xsi:type="dcterms:W3CDTF">2024-10-23T13:24:44Z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2B35994C5C1A4747B8C794572714C2E3_13</vt:lpwstr>
  </property>
</Properties>
</file>